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59" w:rsidRPr="00687500" w:rsidRDefault="00291059" w:rsidP="00C72DBF">
      <w:pPr>
        <w:pStyle w:val="Heading1"/>
        <w:jc w:val="both"/>
        <w:rPr>
          <w:rFonts w:ascii="Tahoma" w:hAnsi="Tahoma" w:cs="Tahoma"/>
          <w:b/>
          <w:sz w:val="22"/>
          <w:szCs w:val="22"/>
          <w:u w:val="none"/>
        </w:rPr>
      </w:pPr>
      <w:r w:rsidRPr="00687500">
        <w:rPr>
          <w:rFonts w:ascii="Tahoma" w:hAnsi="Tahoma" w:cs="Tahoma"/>
          <w:b/>
          <w:sz w:val="22"/>
          <w:szCs w:val="22"/>
          <w:u w:val="none"/>
        </w:rPr>
        <w:t>Not</w:t>
      </w:r>
      <w:bookmarkStart w:id="0" w:name="_GoBack"/>
      <w:bookmarkEnd w:id="0"/>
      <w:r w:rsidRPr="00687500">
        <w:rPr>
          <w:rFonts w:ascii="Tahoma" w:hAnsi="Tahoma" w:cs="Tahoma"/>
          <w:b/>
          <w:sz w:val="22"/>
          <w:szCs w:val="22"/>
          <w:u w:val="none"/>
        </w:rPr>
        <w:t>es to the Interim Financial Statements</w:t>
      </w:r>
    </w:p>
    <w:p w:rsidR="005A27BE" w:rsidRPr="00687500" w:rsidRDefault="005A27BE" w:rsidP="00C72DBF">
      <w:pPr>
        <w:jc w:val="both"/>
        <w:rPr>
          <w:rFonts w:ascii="Tahoma" w:hAnsi="Tahoma" w:cs="Tahoma"/>
          <w:sz w:val="22"/>
          <w:szCs w:val="22"/>
        </w:rPr>
      </w:pPr>
    </w:p>
    <w:p w:rsidR="005A27BE" w:rsidRPr="00687500" w:rsidRDefault="005A27BE" w:rsidP="00C72DBF">
      <w:pPr>
        <w:jc w:val="both"/>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ACCOUNTING POLICIES</w:t>
      </w:r>
    </w:p>
    <w:p w:rsidR="00291059" w:rsidRPr="00687500" w:rsidRDefault="00291059" w:rsidP="00C72DBF">
      <w:pPr>
        <w:jc w:val="both"/>
        <w:rPr>
          <w:rFonts w:ascii="Tahoma" w:hAnsi="Tahoma" w:cs="Tahoma"/>
          <w:sz w:val="22"/>
          <w:szCs w:val="22"/>
        </w:rPr>
      </w:pPr>
    </w:p>
    <w:p w:rsidR="00DC20C8" w:rsidRPr="00687500" w:rsidRDefault="00B82260" w:rsidP="00C72DBF">
      <w:pPr>
        <w:ind w:left="360"/>
        <w:jc w:val="both"/>
        <w:rPr>
          <w:rFonts w:ascii="Tahoma" w:hAnsi="Tahoma" w:cs="Tahoma"/>
          <w:sz w:val="22"/>
          <w:szCs w:val="22"/>
          <w:lang w:val="en-GB"/>
        </w:rPr>
      </w:pPr>
      <w:r>
        <w:rPr>
          <w:rFonts w:ascii="Tahoma" w:hAnsi="Tahoma" w:cs="Tahoma"/>
          <w:sz w:val="22"/>
          <w:szCs w:val="22"/>
        </w:rPr>
        <w:t xml:space="preserve">The interim financial statements are unaudited and have been prepared in accordance with the requirement of FRS </w:t>
      </w:r>
      <w:r w:rsidR="001F1B06">
        <w:rPr>
          <w:rFonts w:ascii="Tahoma" w:hAnsi="Tahoma" w:cs="Tahoma"/>
          <w:sz w:val="22"/>
          <w:szCs w:val="22"/>
        </w:rPr>
        <w:t>134:</w:t>
      </w:r>
      <w:r>
        <w:rPr>
          <w:rFonts w:ascii="Tahoma" w:hAnsi="Tahoma" w:cs="Tahoma"/>
          <w:sz w:val="22"/>
          <w:szCs w:val="22"/>
        </w:rPr>
        <w:t xml:space="preserve"> Interim Financial Reporting and paragraph 9.22 of the Main Market Listing Requirement of Bursa Malaysia Securities </w:t>
      </w:r>
      <w:proofErr w:type="spellStart"/>
      <w:r>
        <w:rPr>
          <w:rFonts w:ascii="Tahoma" w:hAnsi="Tahoma" w:cs="Tahoma"/>
          <w:sz w:val="22"/>
          <w:szCs w:val="22"/>
        </w:rPr>
        <w:t>Berhad</w:t>
      </w:r>
      <w:proofErr w:type="spellEnd"/>
      <w:r>
        <w:rPr>
          <w:rFonts w:ascii="Tahoma" w:hAnsi="Tahoma" w:cs="Tahoma"/>
          <w:sz w:val="22"/>
          <w:szCs w:val="22"/>
        </w:rPr>
        <w:t>.</w:t>
      </w:r>
    </w:p>
    <w:p w:rsidR="00291059" w:rsidRPr="00687500" w:rsidRDefault="00291059" w:rsidP="00C72DBF">
      <w:pPr>
        <w:pStyle w:val="BodyTextIndent"/>
        <w:jc w:val="both"/>
        <w:rPr>
          <w:rFonts w:ascii="Tahoma" w:hAnsi="Tahoma" w:cs="Tahoma"/>
          <w:sz w:val="22"/>
          <w:szCs w:val="22"/>
        </w:rPr>
      </w:pPr>
    </w:p>
    <w:p w:rsidR="00BF2FD1" w:rsidRPr="00687500" w:rsidRDefault="00B82260" w:rsidP="00C72DBF">
      <w:pPr>
        <w:autoSpaceDE w:val="0"/>
        <w:autoSpaceDN w:val="0"/>
        <w:adjustRightInd w:val="0"/>
        <w:ind w:left="360"/>
        <w:jc w:val="both"/>
        <w:rPr>
          <w:rFonts w:ascii="Tahoma" w:hAnsi="Tahoma" w:cs="Tahoma"/>
          <w:color w:val="000000"/>
          <w:sz w:val="22"/>
          <w:szCs w:val="22"/>
        </w:rPr>
      </w:pPr>
      <w:r>
        <w:rPr>
          <w:rFonts w:ascii="Tahoma" w:hAnsi="Tahoma" w:cs="Tahoma"/>
          <w:color w:val="000000"/>
          <w:sz w:val="22"/>
          <w:szCs w:val="22"/>
        </w:rPr>
        <w:t xml:space="preserve">The interim financial statements should be read in conjunction with the audited financial statements of </w:t>
      </w:r>
      <w:proofErr w:type="spellStart"/>
      <w:r>
        <w:rPr>
          <w:rFonts w:ascii="Tahoma" w:hAnsi="Tahoma" w:cs="Tahoma"/>
          <w:color w:val="000000"/>
          <w:sz w:val="22"/>
          <w:szCs w:val="22"/>
        </w:rPr>
        <w:t>PJBumi</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Berhad</w:t>
      </w:r>
      <w:proofErr w:type="spellEnd"/>
      <w:r>
        <w:rPr>
          <w:rFonts w:ascii="Tahoma" w:hAnsi="Tahoma" w:cs="Tahoma"/>
          <w:color w:val="000000"/>
          <w:sz w:val="22"/>
          <w:szCs w:val="22"/>
        </w:rPr>
        <w:t xml:space="preserve"> (the “Company) and its subsidiaries (“Group”) for the financial year ended 31 December 201</w:t>
      </w:r>
      <w:r w:rsidR="005C69F7">
        <w:rPr>
          <w:rFonts w:ascii="Tahoma" w:hAnsi="Tahoma" w:cs="Tahoma"/>
          <w:color w:val="000000"/>
          <w:sz w:val="22"/>
          <w:szCs w:val="22"/>
        </w:rPr>
        <w:t>1</w:t>
      </w:r>
      <w:r>
        <w:rPr>
          <w:rFonts w:ascii="Tahoma" w:hAnsi="Tahoma" w:cs="Tahoma"/>
          <w:color w:val="000000"/>
          <w:sz w:val="22"/>
          <w:szCs w:val="22"/>
        </w:rPr>
        <w:t xml:space="preserve">. The explanatory notes attached to the interim financial statements provide an explanation of events and transaction that are significant to an understanding of the </w:t>
      </w:r>
      <w:r w:rsidR="001F1B06">
        <w:rPr>
          <w:rFonts w:ascii="Tahoma" w:hAnsi="Tahoma" w:cs="Tahoma"/>
          <w:color w:val="000000"/>
          <w:sz w:val="22"/>
          <w:szCs w:val="22"/>
        </w:rPr>
        <w:t>changes in the financial position and performance of the Group since the year ended 31 December 201</w:t>
      </w:r>
      <w:r w:rsidR="005C69F7">
        <w:rPr>
          <w:rFonts w:ascii="Tahoma" w:hAnsi="Tahoma" w:cs="Tahoma"/>
          <w:color w:val="000000"/>
          <w:sz w:val="22"/>
          <w:szCs w:val="22"/>
        </w:rPr>
        <w:t>1</w:t>
      </w:r>
      <w:r w:rsidR="001F1B06">
        <w:rPr>
          <w:rFonts w:ascii="Tahoma" w:hAnsi="Tahoma" w:cs="Tahoma"/>
          <w:color w:val="000000"/>
          <w:sz w:val="22"/>
          <w:szCs w:val="22"/>
        </w:rPr>
        <w:t>.</w:t>
      </w:r>
    </w:p>
    <w:p w:rsidR="00BF2FD1" w:rsidRDefault="00BF2FD1" w:rsidP="00C72DBF">
      <w:pPr>
        <w:autoSpaceDE w:val="0"/>
        <w:autoSpaceDN w:val="0"/>
        <w:adjustRightInd w:val="0"/>
        <w:jc w:val="both"/>
        <w:rPr>
          <w:rFonts w:ascii="Tahoma" w:hAnsi="Tahoma" w:cs="Tahoma"/>
          <w:b/>
          <w:bCs/>
          <w:color w:val="000000"/>
          <w:sz w:val="22"/>
          <w:szCs w:val="22"/>
        </w:rPr>
      </w:pPr>
    </w:p>
    <w:p w:rsidR="00680B4E" w:rsidRPr="00687500" w:rsidRDefault="00680B4E" w:rsidP="00680B4E">
      <w:pPr>
        <w:autoSpaceDE w:val="0"/>
        <w:autoSpaceDN w:val="0"/>
        <w:adjustRightInd w:val="0"/>
        <w:ind w:firstLine="360"/>
        <w:jc w:val="both"/>
        <w:rPr>
          <w:rFonts w:ascii="Tahoma" w:hAnsi="Tahoma" w:cs="Tahoma"/>
          <w:b/>
          <w:bCs/>
          <w:color w:val="000000"/>
          <w:sz w:val="22"/>
          <w:szCs w:val="22"/>
        </w:rPr>
      </w:pPr>
      <w:r w:rsidRPr="00680B4E">
        <w:rPr>
          <w:rFonts w:ascii="Tahoma" w:hAnsi="Tahoma" w:cs="Tahoma"/>
          <w:b/>
          <w:bCs/>
          <w:color w:val="000000"/>
          <w:sz w:val="22"/>
          <w:szCs w:val="22"/>
        </w:rPr>
        <w:t>First-time adoption of Malaysian Financial Reporting Standards ("MFRS")</w:t>
      </w:r>
    </w:p>
    <w:p w:rsidR="00680B4E" w:rsidRDefault="00680B4E" w:rsidP="00680B4E">
      <w:pPr>
        <w:ind w:left="360"/>
        <w:jc w:val="both"/>
        <w:rPr>
          <w:rFonts w:ascii="Tahoma" w:hAnsi="Tahoma" w:cs="Tahoma"/>
          <w:sz w:val="22"/>
          <w:szCs w:val="22"/>
        </w:rPr>
      </w:pPr>
    </w:p>
    <w:p w:rsidR="00687500" w:rsidRDefault="00680B4E" w:rsidP="00680B4E">
      <w:pPr>
        <w:ind w:left="360"/>
        <w:jc w:val="both"/>
        <w:rPr>
          <w:rFonts w:ascii="Tahoma" w:hAnsi="Tahoma" w:cs="Tahoma"/>
          <w:sz w:val="22"/>
          <w:szCs w:val="22"/>
        </w:rPr>
      </w:pPr>
      <w:r w:rsidRPr="00680B4E">
        <w:rPr>
          <w:rFonts w:ascii="Tahoma" w:hAnsi="Tahoma" w:cs="Tahoma"/>
          <w:sz w:val="22"/>
          <w:szCs w:val="22"/>
        </w:rPr>
        <w:t xml:space="preserve">These condensed consolidated interim financial statements for the period ended 31 March 2012, have been prepared in accordance with MFRS 134 Interim Financial Reporting and paragraph 9.22 of the Listing Requirements of Bursa Malaysia Securities </w:t>
      </w:r>
      <w:proofErr w:type="spellStart"/>
      <w:r w:rsidRPr="00680B4E">
        <w:rPr>
          <w:rFonts w:ascii="Tahoma" w:hAnsi="Tahoma" w:cs="Tahoma"/>
          <w:sz w:val="22"/>
          <w:szCs w:val="22"/>
        </w:rPr>
        <w:t>Berhad</w:t>
      </w:r>
      <w:proofErr w:type="spellEnd"/>
      <w:r w:rsidRPr="00680B4E">
        <w:rPr>
          <w:rFonts w:ascii="Tahoma" w:hAnsi="Tahoma" w:cs="Tahoma"/>
          <w:sz w:val="22"/>
          <w:szCs w:val="22"/>
        </w:rPr>
        <w:t>. These condensed consolidated interim financial statements also comply with IAS 34 Interim Financial Reporting issued by the International Accounting Standards Board. For the periods up to and including the year ended 31 December 2011, the Group prepared its financial statements in accordance with Financial Reporting Standards ("FRS").</w:t>
      </w:r>
    </w:p>
    <w:p w:rsidR="00680B4E" w:rsidRDefault="00680B4E" w:rsidP="00680B4E">
      <w:pPr>
        <w:ind w:left="360"/>
        <w:jc w:val="both"/>
        <w:rPr>
          <w:rFonts w:ascii="Tahoma" w:hAnsi="Tahoma" w:cs="Tahoma"/>
          <w:sz w:val="22"/>
          <w:szCs w:val="22"/>
        </w:rPr>
      </w:pPr>
    </w:p>
    <w:p w:rsidR="00680B4E" w:rsidRDefault="00680B4E" w:rsidP="00680B4E">
      <w:pPr>
        <w:ind w:left="360"/>
        <w:jc w:val="both"/>
        <w:rPr>
          <w:rFonts w:ascii="Tahoma" w:hAnsi="Tahoma" w:cs="Tahoma"/>
          <w:sz w:val="22"/>
          <w:szCs w:val="22"/>
        </w:rPr>
      </w:pPr>
      <w:r>
        <w:rPr>
          <w:rFonts w:ascii="Tahoma" w:hAnsi="Tahoma" w:cs="Tahoma"/>
          <w:sz w:val="22"/>
          <w:szCs w:val="22"/>
        </w:rPr>
        <w:t>The consolidated fi</w:t>
      </w:r>
      <w:r w:rsidRPr="00680B4E">
        <w:rPr>
          <w:rFonts w:ascii="Tahoma" w:hAnsi="Tahoma" w:cs="Tahoma"/>
          <w:sz w:val="22"/>
          <w:szCs w:val="22"/>
        </w:rPr>
        <w:t xml:space="preserve">nancial statements of the Group for the year ended 31 December 2011 which were prepared under FRS are available upon request from the Company registered office at </w:t>
      </w:r>
      <w:r>
        <w:rPr>
          <w:rFonts w:ascii="Tahoma" w:hAnsi="Tahoma" w:cs="Tahoma"/>
          <w:sz w:val="22"/>
          <w:szCs w:val="22"/>
        </w:rPr>
        <w:t xml:space="preserve">Tingkat 5, </w:t>
      </w:r>
      <w:proofErr w:type="spellStart"/>
      <w:r>
        <w:rPr>
          <w:rFonts w:ascii="Tahoma" w:hAnsi="Tahoma" w:cs="Tahoma"/>
          <w:sz w:val="22"/>
          <w:szCs w:val="22"/>
        </w:rPr>
        <w:t>Ba</w:t>
      </w:r>
      <w:r w:rsidR="00DC1879">
        <w:rPr>
          <w:rFonts w:ascii="Tahoma" w:hAnsi="Tahoma" w:cs="Tahoma"/>
          <w:sz w:val="22"/>
          <w:szCs w:val="22"/>
        </w:rPr>
        <w:t>n</w:t>
      </w:r>
      <w:r>
        <w:rPr>
          <w:rFonts w:ascii="Tahoma" w:hAnsi="Tahoma" w:cs="Tahoma"/>
          <w:sz w:val="22"/>
          <w:szCs w:val="22"/>
        </w:rPr>
        <w:t>gunan</w:t>
      </w:r>
      <w:proofErr w:type="spellEnd"/>
      <w:r>
        <w:rPr>
          <w:rFonts w:ascii="Tahoma" w:hAnsi="Tahoma" w:cs="Tahoma"/>
          <w:sz w:val="22"/>
          <w:szCs w:val="22"/>
        </w:rPr>
        <w:t xml:space="preserve"> BKA, Lot 10</w:t>
      </w:r>
      <w:r w:rsidRPr="00680B4E">
        <w:rPr>
          <w:rFonts w:ascii="Tahoma" w:hAnsi="Tahoma" w:cs="Tahoma"/>
          <w:sz w:val="22"/>
          <w:szCs w:val="22"/>
        </w:rPr>
        <w:t xml:space="preserve">, </w:t>
      </w:r>
      <w:proofErr w:type="spellStart"/>
      <w:r w:rsidRPr="00680B4E">
        <w:rPr>
          <w:rFonts w:ascii="Tahoma" w:hAnsi="Tahoma" w:cs="Tahoma"/>
          <w:sz w:val="22"/>
          <w:szCs w:val="22"/>
        </w:rPr>
        <w:t>Jalan</w:t>
      </w:r>
      <w:proofErr w:type="spellEnd"/>
      <w:r w:rsidRPr="00680B4E">
        <w:rPr>
          <w:rFonts w:ascii="Tahoma" w:hAnsi="Tahoma" w:cs="Tahoma"/>
          <w:sz w:val="22"/>
          <w:szCs w:val="22"/>
        </w:rPr>
        <w:t xml:space="preserve"> </w:t>
      </w:r>
      <w:proofErr w:type="spellStart"/>
      <w:r w:rsidRPr="00680B4E">
        <w:rPr>
          <w:rFonts w:ascii="Tahoma" w:hAnsi="Tahoma" w:cs="Tahoma"/>
          <w:sz w:val="22"/>
          <w:szCs w:val="22"/>
        </w:rPr>
        <w:t>Astaka</w:t>
      </w:r>
      <w:proofErr w:type="spellEnd"/>
      <w:r w:rsidRPr="00680B4E">
        <w:rPr>
          <w:rFonts w:ascii="Tahoma" w:hAnsi="Tahoma" w:cs="Tahoma"/>
          <w:sz w:val="22"/>
          <w:szCs w:val="22"/>
        </w:rPr>
        <w:t xml:space="preserve"> U8/84, Bukit </w:t>
      </w:r>
      <w:proofErr w:type="spellStart"/>
      <w:r w:rsidRPr="00680B4E">
        <w:rPr>
          <w:rFonts w:ascii="Tahoma" w:hAnsi="Tahoma" w:cs="Tahoma"/>
          <w:sz w:val="22"/>
          <w:szCs w:val="22"/>
        </w:rPr>
        <w:t>Jelutong</w:t>
      </w:r>
      <w:proofErr w:type="spellEnd"/>
      <w:r w:rsidRPr="00680B4E">
        <w:rPr>
          <w:rFonts w:ascii="Tahoma" w:hAnsi="Tahoma" w:cs="Tahoma"/>
          <w:sz w:val="22"/>
          <w:szCs w:val="22"/>
        </w:rPr>
        <w:t xml:space="preserve"> Business &amp; Technology Centre, 40150 Shah </w:t>
      </w:r>
      <w:proofErr w:type="spellStart"/>
      <w:r w:rsidRPr="00680B4E">
        <w:rPr>
          <w:rFonts w:ascii="Tahoma" w:hAnsi="Tahoma" w:cs="Tahoma"/>
          <w:sz w:val="22"/>
          <w:szCs w:val="22"/>
        </w:rPr>
        <w:t>Alam</w:t>
      </w:r>
      <w:proofErr w:type="spellEnd"/>
      <w:r w:rsidRPr="00680B4E">
        <w:rPr>
          <w:rFonts w:ascii="Tahoma" w:hAnsi="Tahoma" w:cs="Tahoma"/>
          <w:sz w:val="22"/>
          <w:szCs w:val="22"/>
        </w:rPr>
        <w:t xml:space="preserve">, Selangor </w:t>
      </w:r>
      <w:proofErr w:type="spellStart"/>
      <w:r w:rsidRPr="00680B4E">
        <w:rPr>
          <w:rFonts w:ascii="Tahoma" w:hAnsi="Tahoma" w:cs="Tahoma"/>
          <w:sz w:val="22"/>
          <w:szCs w:val="22"/>
        </w:rPr>
        <w:t>Darul</w:t>
      </w:r>
      <w:proofErr w:type="spellEnd"/>
      <w:r w:rsidRPr="00680B4E">
        <w:rPr>
          <w:rFonts w:ascii="Tahoma" w:hAnsi="Tahoma" w:cs="Tahoma"/>
          <w:sz w:val="22"/>
          <w:szCs w:val="22"/>
        </w:rPr>
        <w:t xml:space="preserve"> </w:t>
      </w:r>
      <w:proofErr w:type="spellStart"/>
      <w:r w:rsidRPr="00680B4E">
        <w:rPr>
          <w:rFonts w:ascii="Tahoma" w:hAnsi="Tahoma" w:cs="Tahoma"/>
          <w:sz w:val="22"/>
          <w:szCs w:val="22"/>
        </w:rPr>
        <w:t>Ehsan</w:t>
      </w:r>
      <w:proofErr w:type="spellEnd"/>
      <w:r w:rsidRPr="00680B4E">
        <w:rPr>
          <w:rFonts w:ascii="Tahoma" w:hAnsi="Tahoma" w:cs="Tahoma"/>
          <w:sz w:val="22"/>
          <w:szCs w:val="22"/>
        </w:rPr>
        <w:t>.</w:t>
      </w:r>
    </w:p>
    <w:p w:rsidR="00680B4E" w:rsidRDefault="00680B4E" w:rsidP="00680B4E">
      <w:pPr>
        <w:ind w:left="360"/>
        <w:jc w:val="both"/>
        <w:rPr>
          <w:rFonts w:ascii="Tahoma" w:hAnsi="Tahoma" w:cs="Tahoma"/>
          <w:sz w:val="22"/>
          <w:szCs w:val="22"/>
        </w:rPr>
      </w:pPr>
    </w:p>
    <w:p w:rsidR="00680B4E" w:rsidRDefault="00680B4E" w:rsidP="00680B4E">
      <w:pPr>
        <w:ind w:left="360"/>
        <w:jc w:val="both"/>
        <w:rPr>
          <w:rFonts w:ascii="Tahoma" w:hAnsi="Tahoma" w:cs="Tahoma"/>
          <w:sz w:val="22"/>
          <w:szCs w:val="22"/>
        </w:rPr>
      </w:pPr>
      <w:r w:rsidRPr="00680B4E">
        <w:rPr>
          <w:rFonts w:ascii="Tahoma" w:hAnsi="Tahoma" w:cs="Tahoma"/>
          <w:sz w:val="22"/>
          <w:szCs w:val="22"/>
        </w:rPr>
        <w:t>These condensed consolidated interim financial statements are the Group's first MFRS condensed consolidated interim financial statements for part of the period covered by the Group's first MFRS annual financial statements for the year ending 31 December 2012. MFRS 1 First-Time Adoption of Malaysian Financial Reporting Standards ("MFRS 1") has been applied.</w:t>
      </w:r>
    </w:p>
    <w:p w:rsidR="00680B4E" w:rsidRDefault="00680B4E" w:rsidP="00680B4E">
      <w:pPr>
        <w:ind w:left="360"/>
        <w:jc w:val="both"/>
        <w:rPr>
          <w:rFonts w:ascii="Tahoma" w:hAnsi="Tahoma" w:cs="Tahoma"/>
          <w:sz w:val="22"/>
          <w:szCs w:val="22"/>
        </w:rPr>
      </w:pPr>
    </w:p>
    <w:p w:rsidR="00680B4E" w:rsidRDefault="00680B4E" w:rsidP="00680B4E">
      <w:pPr>
        <w:ind w:left="360"/>
        <w:jc w:val="both"/>
        <w:rPr>
          <w:rFonts w:ascii="Tahoma" w:hAnsi="Tahoma" w:cs="Tahoma"/>
          <w:sz w:val="22"/>
          <w:szCs w:val="22"/>
        </w:rPr>
      </w:pPr>
      <w:r w:rsidRPr="00680B4E">
        <w:rPr>
          <w:rFonts w:ascii="Tahoma" w:hAnsi="Tahoma" w:cs="Tahoma"/>
          <w:sz w:val="22"/>
          <w:szCs w:val="22"/>
        </w:rPr>
        <w:t>The explanatory notes attached to these condensed consolidated interim financial statements provide an explanation of events and transactions that are significant to an understanding of the changes in the financial position and performance of the Group since the year ended 31 December 2011.</w:t>
      </w:r>
    </w:p>
    <w:p w:rsidR="00680B4E" w:rsidRDefault="00680B4E" w:rsidP="00680B4E">
      <w:pPr>
        <w:ind w:left="360"/>
        <w:jc w:val="both"/>
        <w:rPr>
          <w:rFonts w:ascii="Tahoma" w:hAnsi="Tahoma" w:cs="Tahoma"/>
          <w:sz w:val="22"/>
          <w:szCs w:val="22"/>
        </w:rPr>
      </w:pPr>
    </w:p>
    <w:p w:rsidR="00680B4E" w:rsidRDefault="00680B4E" w:rsidP="00680B4E">
      <w:pPr>
        <w:ind w:left="360"/>
        <w:jc w:val="both"/>
        <w:rPr>
          <w:rFonts w:ascii="Tahoma" w:hAnsi="Tahoma" w:cs="Tahoma"/>
          <w:sz w:val="22"/>
          <w:szCs w:val="22"/>
        </w:rPr>
      </w:pPr>
      <w:r w:rsidRPr="00680B4E">
        <w:rPr>
          <w:rFonts w:ascii="Tahoma" w:hAnsi="Tahoma" w:cs="Tahoma"/>
          <w:sz w:val="22"/>
          <w:szCs w:val="22"/>
        </w:rPr>
        <w:t>In preparing its opening MFRS Statement of Financial Position as at 1 January 2011 (which is also the date of transition), the Group has adjusted the amounts previously reported in financial statements prepared in accordance with FRS. An explanation of how the transition from FRS to MFRS has affected the Group's financial position, financial performance and cash flows is set out in Note 3 below. These notes include reconciliations of equity and total comprehensive income for comparative periods and of equity at the date of transition reported under FRS to those reported for those periods and at the date of transition under MFRS. The transition from FRS to MFRS has not had a material impact on the statement of cash flows.</w:t>
      </w:r>
    </w:p>
    <w:p w:rsidR="00680B4E" w:rsidRDefault="00680B4E" w:rsidP="00680B4E">
      <w:pPr>
        <w:ind w:left="360"/>
        <w:jc w:val="both"/>
        <w:rPr>
          <w:rFonts w:ascii="Tahoma" w:hAnsi="Tahoma" w:cs="Tahoma"/>
          <w:sz w:val="22"/>
          <w:szCs w:val="22"/>
        </w:rPr>
      </w:pPr>
    </w:p>
    <w:p w:rsidR="00680B4E" w:rsidRPr="00680B4E" w:rsidRDefault="00680B4E" w:rsidP="00680B4E">
      <w:pPr>
        <w:ind w:firstLine="360"/>
        <w:jc w:val="both"/>
        <w:rPr>
          <w:rFonts w:ascii="Calibri" w:hAnsi="Calibri" w:cs="Arial"/>
          <w:b/>
          <w:bCs/>
        </w:rPr>
      </w:pPr>
      <w:r w:rsidRPr="00680B4E">
        <w:rPr>
          <w:rFonts w:ascii="Calibri" w:hAnsi="Calibri" w:cs="Arial"/>
          <w:b/>
          <w:bCs/>
        </w:rPr>
        <w:lastRenderedPageBreak/>
        <w:t>MFRSs, Amendments to MFRSs and IC Interpretation issued but not yet effective</w:t>
      </w:r>
    </w:p>
    <w:p w:rsidR="00680B4E" w:rsidRDefault="00680B4E" w:rsidP="00680B4E">
      <w:pPr>
        <w:ind w:left="360"/>
        <w:jc w:val="both"/>
        <w:rPr>
          <w:rFonts w:ascii="Calibri" w:hAnsi="Calibri" w:cs="Arial"/>
        </w:rPr>
      </w:pPr>
    </w:p>
    <w:p w:rsidR="00680B4E" w:rsidRPr="00680B4E" w:rsidRDefault="00680B4E" w:rsidP="00680B4E">
      <w:pPr>
        <w:ind w:left="360"/>
        <w:jc w:val="both"/>
        <w:rPr>
          <w:rFonts w:ascii="Calibri" w:hAnsi="Calibri" w:cs="Arial"/>
        </w:rPr>
      </w:pPr>
      <w:r w:rsidRPr="00680B4E">
        <w:rPr>
          <w:rFonts w:ascii="Calibri" w:hAnsi="Calibri" w:cs="Arial"/>
        </w:rPr>
        <w:t xml:space="preserve">At the date of </w:t>
      </w:r>
      <w:proofErr w:type="spellStart"/>
      <w:r w:rsidRPr="00680B4E">
        <w:rPr>
          <w:rFonts w:ascii="Calibri" w:hAnsi="Calibri" w:cs="Arial"/>
        </w:rPr>
        <w:t>authorisation</w:t>
      </w:r>
      <w:proofErr w:type="spellEnd"/>
      <w:r w:rsidRPr="00680B4E">
        <w:rPr>
          <w:rFonts w:ascii="Calibri" w:hAnsi="Calibri" w:cs="Arial"/>
        </w:rPr>
        <w:t xml:space="preserve"> of these interim financial statements, the following MFRSs, Amendments to MFRSs and IC Interpretation were issued but not yet effective and have not been applied by the </w:t>
      </w:r>
      <w:proofErr w:type="gramStart"/>
      <w:r w:rsidRPr="00680B4E">
        <w:rPr>
          <w:rFonts w:ascii="Calibri" w:hAnsi="Calibri" w:cs="Arial"/>
        </w:rPr>
        <w:t>Group :</w:t>
      </w:r>
      <w:proofErr w:type="gramEnd"/>
      <w:r w:rsidRPr="00680B4E">
        <w:rPr>
          <w:rFonts w:ascii="Calibri" w:hAnsi="Calibri" w:cs="Arial"/>
        </w:rPr>
        <w:t xml:space="preserve"> </w:t>
      </w:r>
    </w:p>
    <w:tbl>
      <w:tblPr>
        <w:tblW w:w="10566" w:type="dxa"/>
        <w:tblInd w:w="108" w:type="dxa"/>
        <w:tblLook w:val="04A0"/>
      </w:tblPr>
      <w:tblGrid>
        <w:gridCol w:w="563"/>
        <w:gridCol w:w="504"/>
        <w:gridCol w:w="1256"/>
        <w:gridCol w:w="1480"/>
        <w:gridCol w:w="3037"/>
        <w:gridCol w:w="270"/>
        <w:gridCol w:w="517"/>
        <w:gridCol w:w="239"/>
        <w:gridCol w:w="2700"/>
      </w:tblGrid>
      <w:tr w:rsidR="00680B4E" w:rsidRPr="00680B4E" w:rsidTr="003F4538">
        <w:trPr>
          <w:trHeight w:val="323"/>
        </w:trPr>
        <w:tc>
          <w:tcPr>
            <w:tcW w:w="563"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b/>
                <w:bCs/>
              </w:rPr>
            </w:pPr>
          </w:p>
        </w:tc>
        <w:tc>
          <w:tcPr>
            <w:tcW w:w="504"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b/>
                <w:bCs/>
              </w:rPr>
            </w:pPr>
          </w:p>
        </w:tc>
        <w:tc>
          <w:tcPr>
            <w:tcW w:w="1256"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1480"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303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51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39"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0" w:type="dxa"/>
            <w:tcBorders>
              <w:top w:val="nil"/>
              <w:left w:val="nil"/>
              <w:bottom w:val="nil"/>
              <w:right w:val="nil"/>
            </w:tcBorders>
            <w:shd w:val="clear" w:color="auto" w:fill="auto"/>
            <w:vAlign w:val="center"/>
            <w:hideMark/>
          </w:tcPr>
          <w:p w:rsidR="00680B4E" w:rsidRPr="00680B4E" w:rsidRDefault="00680B4E" w:rsidP="00680B4E">
            <w:pPr>
              <w:jc w:val="right"/>
              <w:rPr>
                <w:rFonts w:ascii="Calibri" w:hAnsi="Calibri" w:cs="Arial"/>
                <w:b/>
                <w:bCs/>
              </w:rPr>
            </w:pPr>
            <w:r w:rsidRPr="00680B4E">
              <w:rPr>
                <w:rFonts w:ascii="Calibri" w:hAnsi="Calibri" w:cs="Arial"/>
                <w:b/>
                <w:bCs/>
              </w:rPr>
              <w:t>Effective for annual</w:t>
            </w:r>
          </w:p>
        </w:tc>
      </w:tr>
      <w:tr w:rsidR="00680B4E" w:rsidRPr="00680B4E" w:rsidTr="003F4538">
        <w:trPr>
          <w:trHeight w:val="323"/>
        </w:trPr>
        <w:tc>
          <w:tcPr>
            <w:tcW w:w="563"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b/>
                <w:bCs/>
              </w:rPr>
            </w:pPr>
          </w:p>
        </w:tc>
        <w:tc>
          <w:tcPr>
            <w:tcW w:w="504"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b/>
                <w:bCs/>
              </w:rPr>
            </w:pPr>
          </w:p>
        </w:tc>
        <w:tc>
          <w:tcPr>
            <w:tcW w:w="1256"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1480"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303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51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39"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0" w:type="dxa"/>
            <w:tcBorders>
              <w:top w:val="nil"/>
              <w:left w:val="nil"/>
              <w:bottom w:val="nil"/>
              <w:right w:val="nil"/>
            </w:tcBorders>
            <w:shd w:val="clear" w:color="auto" w:fill="auto"/>
            <w:vAlign w:val="center"/>
            <w:hideMark/>
          </w:tcPr>
          <w:p w:rsidR="00680B4E" w:rsidRPr="00680B4E" w:rsidRDefault="00680B4E" w:rsidP="00680B4E">
            <w:pPr>
              <w:jc w:val="right"/>
              <w:rPr>
                <w:rFonts w:ascii="Calibri" w:hAnsi="Calibri" w:cs="Arial"/>
                <w:b/>
                <w:bCs/>
              </w:rPr>
            </w:pPr>
            <w:r w:rsidRPr="00680B4E">
              <w:rPr>
                <w:rFonts w:ascii="Calibri" w:hAnsi="Calibri" w:cs="Arial"/>
                <w:b/>
                <w:bCs/>
              </w:rPr>
              <w:t>period beginning</w:t>
            </w:r>
          </w:p>
        </w:tc>
      </w:tr>
      <w:tr w:rsidR="00680B4E" w:rsidRPr="00680B4E" w:rsidTr="003F4538">
        <w:trPr>
          <w:trHeight w:val="323"/>
        </w:trPr>
        <w:tc>
          <w:tcPr>
            <w:tcW w:w="563"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b/>
                <w:bCs/>
              </w:rPr>
            </w:pPr>
          </w:p>
        </w:tc>
        <w:tc>
          <w:tcPr>
            <w:tcW w:w="504"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b/>
                <w:bCs/>
              </w:rPr>
            </w:pPr>
          </w:p>
        </w:tc>
        <w:tc>
          <w:tcPr>
            <w:tcW w:w="1256"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1480"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303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51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39"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0" w:type="dxa"/>
            <w:tcBorders>
              <w:top w:val="nil"/>
              <w:left w:val="nil"/>
              <w:bottom w:val="nil"/>
              <w:right w:val="nil"/>
            </w:tcBorders>
            <w:shd w:val="clear" w:color="auto" w:fill="auto"/>
            <w:vAlign w:val="center"/>
            <w:hideMark/>
          </w:tcPr>
          <w:p w:rsidR="00680B4E" w:rsidRPr="00680B4E" w:rsidRDefault="00680B4E" w:rsidP="00680B4E">
            <w:pPr>
              <w:jc w:val="right"/>
              <w:rPr>
                <w:rFonts w:ascii="Calibri" w:hAnsi="Calibri" w:cs="Arial"/>
                <w:b/>
                <w:bCs/>
              </w:rPr>
            </w:pPr>
            <w:r w:rsidRPr="00680B4E">
              <w:rPr>
                <w:rFonts w:ascii="Calibri" w:hAnsi="Calibri" w:cs="Arial"/>
                <w:b/>
                <w:bCs/>
              </w:rPr>
              <w:t>on or after</w:t>
            </w:r>
          </w:p>
        </w:tc>
      </w:tr>
      <w:tr w:rsidR="003F4538" w:rsidRPr="00680B4E" w:rsidTr="003F4538">
        <w:trPr>
          <w:trHeight w:val="323"/>
        </w:trPr>
        <w:tc>
          <w:tcPr>
            <w:tcW w:w="563"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3240" w:type="dxa"/>
            <w:gridSpan w:val="3"/>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r w:rsidRPr="00680B4E">
              <w:rPr>
                <w:rFonts w:ascii="Calibri" w:hAnsi="Calibri" w:cs="Arial"/>
              </w:rPr>
              <w:t>MFRS 9 : Financial Instruments</w:t>
            </w:r>
          </w:p>
        </w:tc>
        <w:tc>
          <w:tcPr>
            <w:tcW w:w="303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51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39"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0" w:type="dxa"/>
            <w:tcBorders>
              <w:top w:val="nil"/>
              <w:left w:val="nil"/>
              <w:bottom w:val="nil"/>
              <w:right w:val="nil"/>
            </w:tcBorders>
            <w:shd w:val="clear" w:color="auto" w:fill="auto"/>
            <w:vAlign w:val="center"/>
            <w:hideMark/>
          </w:tcPr>
          <w:p w:rsidR="00680B4E" w:rsidRPr="00680B4E" w:rsidRDefault="00680B4E" w:rsidP="00680B4E">
            <w:pPr>
              <w:jc w:val="right"/>
              <w:rPr>
                <w:rFonts w:ascii="Calibri" w:hAnsi="Calibri" w:cs="Arial"/>
              </w:rPr>
            </w:pPr>
            <w:r w:rsidRPr="00680B4E">
              <w:rPr>
                <w:rFonts w:ascii="Calibri" w:hAnsi="Calibri" w:cs="Arial"/>
              </w:rPr>
              <w:t>1 January 2015</w:t>
            </w:r>
          </w:p>
        </w:tc>
      </w:tr>
      <w:tr w:rsidR="003F4538" w:rsidRPr="00680B4E" w:rsidTr="003F4538">
        <w:trPr>
          <w:trHeight w:val="323"/>
        </w:trPr>
        <w:tc>
          <w:tcPr>
            <w:tcW w:w="563"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6277" w:type="dxa"/>
            <w:gridSpan w:val="4"/>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r w:rsidRPr="00680B4E">
              <w:rPr>
                <w:rFonts w:ascii="Calibri" w:hAnsi="Calibri" w:cs="Arial"/>
              </w:rPr>
              <w:t>MFRS 10 : Consolidated Financial Statements</w:t>
            </w:r>
          </w:p>
        </w:tc>
        <w:tc>
          <w:tcPr>
            <w:tcW w:w="270"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51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39"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0" w:type="dxa"/>
            <w:tcBorders>
              <w:top w:val="nil"/>
              <w:left w:val="nil"/>
              <w:bottom w:val="nil"/>
              <w:right w:val="nil"/>
            </w:tcBorders>
            <w:shd w:val="clear" w:color="auto" w:fill="auto"/>
            <w:vAlign w:val="center"/>
            <w:hideMark/>
          </w:tcPr>
          <w:p w:rsidR="00680B4E" w:rsidRPr="00680B4E" w:rsidRDefault="00680B4E" w:rsidP="00680B4E">
            <w:pPr>
              <w:jc w:val="right"/>
              <w:rPr>
                <w:rFonts w:ascii="Calibri" w:hAnsi="Calibri" w:cs="Arial"/>
              </w:rPr>
            </w:pPr>
            <w:r w:rsidRPr="00680B4E">
              <w:rPr>
                <w:rFonts w:ascii="Calibri" w:hAnsi="Calibri" w:cs="Arial"/>
              </w:rPr>
              <w:t>1 January 2013</w:t>
            </w:r>
          </w:p>
        </w:tc>
      </w:tr>
      <w:tr w:rsidR="003F4538" w:rsidRPr="00680B4E" w:rsidTr="003F4538">
        <w:trPr>
          <w:trHeight w:val="323"/>
        </w:trPr>
        <w:tc>
          <w:tcPr>
            <w:tcW w:w="563"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3240" w:type="dxa"/>
            <w:gridSpan w:val="3"/>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r w:rsidRPr="00680B4E">
              <w:rPr>
                <w:rFonts w:ascii="Calibri" w:hAnsi="Calibri" w:cs="Arial"/>
              </w:rPr>
              <w:t>MFRS 11 : Joint Arrangements</w:t>
            </w:r>
          </w:p>
        </w:tc>
        <w:tc>
          <w:tcPr>
            <w:tcW w:w="303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51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39"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0" w:type="dxa"/>
            <w:tcBorders>
              <w:top w:val="nil"/>
              <w:left w:val="nil"/>
              <w:bottom w:val="nil"/>
              <w:right w:val="nil"/>
            </w:tcBorders>
            <w:shd w:val="clear" w:color="auto" w:fill="auto"/>
            <w:vAlign w:val="center"/>
            <w:hideMark/>
          </w:tcPr>
          <w:p w:rsidR="00680B4E" w:rsidRPr="00680B4E" w:rsidRDefault="00680B4E" w:rsidP="00680B4E">
            <w:pPr>
              <w:jc w:val="right"/>
              <w:rPr>
                <w:rFonts w:ascii="Calibri" w:hAnsi="Calibri" w:cs="Arial"/>
              </w:rPr>
            </w:pPr>
            <w:r w:rsidRPr="00680B4E">
              <w:rPr>
                <w:rFonts w:ascii="Calibri" w:hAnsi="Calibri" w:cs="Arial"/>
              </w:rPr>
              <w:t>1 January 2013</w:t>
            </w:r>
          </w:p>
        </w:tc>
      </w:tr>
      <w:tr w:rsidR="00680B4E" w:rsidRPr="00680B4E" w:rsidTr="003F4538">
        <w:trPr>
          <w:trHeight w:val="323"/>
        </w:trPr>
        <w:tc>
          <w:tcPr>
            <w:tcW w:w="563"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6547" w:type="dxa"/>
            <w:gridSpan w:val="5"/>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r w:rsidRPr="00680B4E">
              <w:rPr>
                <w:rFonts w:ascii="Calibri" w:hAnsi="Calibri" w:cs="Arial"/>
              </w:rPr>
              <w:t>MFRS 12 : Disclosure of Interest in Other Entities</w:t>
            </w:r>
          </w:p>
        </w:tc>
        <w:tc>
          <w:tcPr>
            <w:tcW w:w="51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39"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0" w:type="dxa"/>
            <w:tcBorders>
              <w:top w:val="nil"/>
              <w:left w:val="nil"/>
              <w:bottom w:val="nil"/>
              <w:right w:val="nil"/>
            </w:tcBorders>
            <w:shd w:val="clear" w:color="auto" w:fill="auto"/>
            <w:vAlign w:val="center"/>
            <w:hideMark/>
          </w:tcPr>
          <w:p w:rsidR="00680B4E" w:rsidRPr="00680B4E" w:rsidRDefault="00680B4E" w:rsidP="00680B4E">
            <w:pPr>
              <w:jc w:val="right"/>
              <w:rPr>
                <w:rFonts w:ascii="Calibri" w:hAnsi="Calibri" w:cs="Arial"/>
              </w:rPr>
            </w:pPr>
            <w:r w:rsidRPr="00680B4E">
              <w:rPr>
                <w:rFonts w:ascii="Calibri" w:hAnsi="Calibri" w:cs="Arial"/>
              </w:rPr>
              <w:t>1 January 2013</w:t>
            </w:r>
          </w:p>
        </w:tc>
      </w:tr>
      <w:tr w:rsidR="003F4538" w:rsidRPr="00680B4E" w:rsidTr="003F4538">
        <w:trPr>
          <w:trHeight w:val="323"/>
        </w:trPr>
        <w:tc>
          <w:tcPr>
            <w:tcW w:w="563"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6277" w:type="dxa"/>
            <w:gridSpan w:val="4"/>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r w:rsidRPr="00680B4E">
              <w:rPr>
                <w:rFonts w:ascii="Calibri" w:hAnsi="Calibri" w:cs="Arial"/>
              </w:rPr>
              <w:t>MFRS 13 : Fair Value Measurement</w:t>
            </w:r>
          </w:p>
        </w:tc>
        <w:tc>
          <w:tcPr>
            <w:tcW w:w="270"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51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39"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0" w:type="dxa"/>
            <w:tcBorders>
              <w:top w:val="nil"/>
              <w:left w:val="nil"/>
              <w:bottom w:val="nil"/>
              <w:right w:val="nil"/>
            </w:tcBorders>
            <w:shd w:val="clear" w:color="auto" w:fill="auto"/>
            <w:vAlign w:val="center"/>
            <w:hideMark/>
          </w:tcPr>
          <w:p w:rsidR="00680B4E" w:rsidRPr="00680B4E" w:rsidRDefault="00680B4E" w:rsidP="00680B4E">
            <w:pPr>
              <w:jc w:val="right"/>
              <w:rPr>
                <w:rFonts w:ascii="Calibri" w:hAnsi="Calibri" w:cs="Arial"/>
              </w:rPr>
            </w:pPr>
            <w:r w:rsidRPr="00680B4E">
              <w:rPr>
                <w:rFonts w:ascii="Calibri" w:hAnsi="Calibri" w:cs="Arial"/>
              </w:rPr>
              <w:t>1 January 2013</w:t>
            </w:r>
          </w:p>
        </w:tc>
      </w:tr>
      <w:tr w:rsidR="003F4538" w:rsidRPr="00680B4E" w:rsidTr="003F4538">
        <w:trPr>
          <w:trHeight w:val="323"/>
        </w:trPr>
        <w:tc>
          <w:tcPr>
            <w:tcW w:w="563"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3240" w:type="dxa"/>
            <w:gridSpan w:val="3"/>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r w:rsidRPr="00680B4E">
              <w:rPr>
                <w:rFonts w:ascii="Calibri" w:hAnsi="Calibri" w:cs="Arial"/>
              </w:rPr>
              <w:t>MFRS 119 : Employee Benefits</w:t>
            </w:r>
          </w:p>
        </w:tc>
        <w:tc>
          <w:tcPr>
            <w:tcW w:w="303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51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39"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0" w:type="dxa"/>
            <w:tcBorders>
              <w:top w:val="nil"/>
              <w:left w:val="nil"/>
              <w:bottom w:val="nil"/>
              <w:right w:val="nil"/>
            </w:tcBorders>
            <w:shd w:val="clear" w:color="auto" w:fill="auto"/>
            <w:vAlign w:val="center"/>
            <w:hideMark/>
          </w:tcPr>
          <w:p w:rsidR="00680B4E" w:rsidRPr="00680B4E" w:rsidRDefault="00680B4E" w:rsidP="00680B4E">
            <w:pPr>
              <w:jc w:val="right"/>
              <w:rPr>
                <w:rFonts w:ascii="Calibri" w:hAnsi="Calibri" w:cs="Arial"/>
              </w:rPr>
            </w:pPr>
            <w:r w:rsidRPr="00680B4E">
              <w:rPr>
                <w:rFonts w:ascii="Calibri" w:hAnsi="Calibri" w:cs="Arial"/>
              </w:rPr>
              <w:t>1 January 2013</w:t>
            </w:r>
          </w:p>
        </w:tc>
      </w:tr>
      <w:tr w:rsidR="003F4538" w:rsidRPr="00680B4E" w:rsidTr="003F4538">
        <w:trPr>
          <w:trHeight w:val="323"/>
        </w:trPr>
        <w:tc>
          <w:tcPr>
            <w:tcW w:w="563"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6277" w:type="dxa"/>
            <w:gridSpan w:val="4"/>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r w:rsidRPr="00680B4E">
              <w:rPr>
                <w:rFonts w:ascii="Calibri" w:hAnsi="Calibri" w:cs="Arial"/>
              </w:rPr>
              <w:t>MFRS 127 : Separate Financial Statements</w:t>
            </w:r>
          </w:p>
        </w:tc>
        <w:tc>
          <w:tcPr>
            <w:tcW w:w="270"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51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39"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0" w:type="dxa"/>
            <w:tcBorders>
              <w:top w:val="nil"/>
              <w:left w:val="nil"/>
              <w:bottom w:val="nil"/>
              <w:right w:val="nil"/>
            </w:tcBorders>
            <w:shd w:val="clear" w:color="auto" w:fill="auto"/>
            <w:vAlign w:val="center"/>
            <w:hideMark/>
          </w:tcPr>
          <w:p w:rsidR="00680B4E" w:rsidRPr="00680B4E" w:rsidRDefault="00680B4E" w:rsidP="00680B4E">
            <w:pPr>
              <w:jc w:val="right"/>
              <w:rPr>
                <w:rFonts w:ascii="Calibri" w:hAnsi="Calibri" w:cs="Arial"/>
              </w:rPr>
            </w:pPr>
            <w:r w:rsidRPr="00680B4E">
              <w:rPr>
                <w:rFonts w:ascii="Calibri" w:hAnsi="Calibri" w:cs="Arial"/>
              </w:rPr>
              <w:t>1 January 2013</w:t>
            </w:r>
          </w:p>
        </w:tc>
      </w:tr>
      <w:tr w:rsidR="00680B4E" w:rsidRPr="00680B4E" w:rsidTr="003F4538">
        <w:trPr>
          <w:trHeight w:val="323"/>
        </w:trPr>
        <w:tc>
          <w:tcPr>
            <w:tcW w:w="563"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6547" w:type="dxa"/>
            <w:gridSpan w:val="5"/>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r w:rsidRPr="00680B4E">
              <w:rPr>
                <w:rFonts w:ascii="Calibri" w:hAnsi="Calibri" w:cs="Arial"/>
              </w:rPr>
              <w:t>MFRS 128 : Investments in Associates and Joint Ventures</w:t>
            </w:r>
          </w:p>
        </w:tc>
        <w:tc>
          <w:tcPr>
            <w:tcW w:w="51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39"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0" w:type="dxa"/>
            <w:tcBorders>
              <w:top w:val="nil"/>
              <w:left w:val="nil"/>
              <w:bottom w:val="nil"/>
              <w:right w:val="nil"/>
            </w:tcBorders>
            <w:shd w:val="clear" w:color="auto" w:fill="auto"/>
            <w:vAlign w:val="center"/>
            <w:hideMark/>
          </w:tcPr>
          <w:p w:rsidR="00680B4E" w:rsidRPr="00680B4E" w:rsidRDefault="00680B4E" w:rsidP="00680B4E">
            <w:pPr>
              <w:jc w:val="right"/>
              <w:rPr>
                <w:rFonts w:ascii="Calibri" w:hAnsi="Calibri" w:cs="Arial"/>
              </w:rPr>
            </w:pPr>
            <w:r w:rsidRPr="00680B4E">
              <w:rPr>
                <w:rFonts w:ascii="Calibri" w:hAnsi="Calibri" w:cs="Arial"/>
              </w:rPr>
              <w:t>1 January 2013</w:t>
            </w:r>
          </w:p>
        </w:tc>
      </w:tr>
      <w:tr w:rsidR="003F4538" w:rsidRPr="00680B4E" w:rsidTr="003F4538">
        <w:trPr>
          <w:trHeight w:val="323"/>
        </w:trPr>
        <w:tc>
          <w:tcPr>
            <w:tcW w:w="563" w:type="dxa"/>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p>
        </w:tc>
        <w:tc>
          <w:tcPr>
            <w:tcW w:w="6277" w:type="dxa"/>
            <w:gridSpan w:val="4"/>
            <w:tcBorders>
              <w:top w:val="nil"/>
              <w:left w:val="nil"/>
              <w:bottom w:val="nil"/>
              <w:right w:val="nil"/>
            </w:tcBorders>
            <w:shd w:val="clear" w:color="auto" w:fill="auto"/>
            <w:noWrap/>
            <w:vAlign w:val="bottom"/>
            <w:hideMark/>
          </w:tcPr>
          <w:p w:rsidR="00680B4E" w:rsidRPr="00680B4E" w:rsidRDefault="00680B4E" w:rsidP="00680B4E">
            <w:pPr>
              <w:rPr>
                <w:rFonts w:ascii="Calibri" w:hAnsi="Calibri" w:cs="Arial"/>
              </w:rPr>
            </w:pPr>
            <w:r w:rsidRPr="00680B4E">
              <w:rPr>
                <w:rFonts w:ascii="Calibri" w:hAnsi="Calibri" w:cs="Arial"/>
              </w:rPr>
              <w:t>Amendments to MFRS 1 : Government Loans</w:t>
            </w:r>
          </w:p>
        </w:tc>
        <w:tc>
          <w:tcPr>
            <w:tcW w:w="270"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517"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39" w:type="dxa"/>
            <w:tcBorders>
              <w:top w:val="nil"/>
              <w:left w:val="nil"/>
              <w:bottom w:val="nil"/>
              <w:right w:val="nil"/>
            </w:tcBorders>
            <w:shd w:val="clear" w:color="auto" w:fill="auto"/>
            <w:vAlign w:val="center"/>
            <w:hideMark/>
          </w:tcPr>
          <w:p w:rsidR="00680B4E" w:rsidRPr="00680B4E" w:rsidRDefault="00680B4E" w:rsidP="00680B4E">
            <w:pPr>
              <w:jc w:val="both"/>
              <w:rPr>
                <w:rFonts w:ascii="Calibri" w:hAnsi="Calibri" w:cs="Arial"/>
              </w:rPr>
            </w:pPr>
          </w:p>
        </w:tc>
        <w:tc>
          <w:tcPr>
            <w:tcW w:w="2700" w:type="dxa"/>
            <w:tcBorders>
              <w:top w:val="nil"/>
              <w:left w:val="nil"/>
              <w:bottom w:val="nil"/>
              <w:right w:val="nil"/>
            </w:tcBorders>
            <w:shd w:val="clear" w:color="auto" w:fill="auto"/>
            <w:vAlign w:val="center"/>
            <w:hideMark/>
          </w:tcPr>
          <w:p w:rsidR="00680B4E" w:rsidRPr="00680B4E" w:rsidRDefault="00680B4E" w:rsidP="00680B4E">
            <w:pPr>
              <w:jc w:val="right"/>
              <w:rPr>
                <w:rFonts w:ascii="Calibri" w:hAnsi="Calibri" w:cs="Arial"/>
              </w:rPr>
            </w:pPr>
            <w:r w:rsidRPr="00680B4E">
              <w:rPr>
                <w:rFonts w:ascii="Calibri" w:hAnsi="Calibri" w:cs="Arial"/>
              </w:rPr>
              <w:t>1 January 2013</w:t>
            </w:r>
          </w:p>
        </w:tc>
      </w:tr>
      <w:tr w:rsidR="003F4538" w:rsidRPr="00680B4E" w:rsidTr="003F4538">
        <w:trPr>
          <w:trHeight w:val="323"/>
        </w:trPr>
        <w:tc>
          <w:tcPr>
            <w:tcW w:w="563" w:type="dxa"/>
            <w:tcBorders>
              <w:top w:val="nil"/>
              <w:left w:val="nil"/>
              <w:bottom w:val="nil"/>
              <w:right w:val="nil"/>
            </w:tcBorders>
            <w:shd w:val="clear" w:color="auto" w:fill="auto"/>
            <w:noWrap/>
            <w:vAlign w:val="bottom"/>
            <w:hideMark/>
          </w:tcPr>
          <w:p w:rsidR="003F4538" w:rsidRPr="00680B4E" w:rsidRDefault="003F4538" w:rsidP="00B27ADC">
            <w:pPr>
              <w:rPr>
                <w:rFonts w:ascii="Calibri" w:hAnsi="Calibri" w:cs="Arial"/>
              </w:rPr>
            </w:pPr>
          </w:p>
        </w:tc>
        <w:tc>
          <w:tcPr>
            <w:tcW w:w="6277" w:type="dxa"/>
            <w:gridSpan w:val="4"/>
            <w:tcBorders>
              <w:top w:val="nil"/>
              <w:left w:val="nil"/>
              <w:bottom w:val="nil"/>
              <w:right w:val="nil"/>
            </w:tcBorders>
            <w:shd w:val="clear" w:color="auto" w:fill="auto"/>
            <w:noWrap/>
            <w:vAlign w:val="bottom"/>
            <w:hideMark/>
          </w:tcPr>
          <w:p w:rsidR="003F4538" w:rsidRPr="00680B4E" w:rsidRDefault="003F4538" w:rsidP="00B27ADC">
            <w:pPr>
              <w:rPr>
                <w:rFonts w:ascii="Calibri" w:hAnsi="Calibri" w:cs="Arial"/>
              </w:rPr>
            </w:pPr>
            <w:r w:rsidRPr="003F4538">
              <w:rPr>
                <w:rFonts w:ascii="Calibri" w:hAnsi="Calibri" w:cs="Arial"/>
              </w:rPr>
              <w:t>Amendments to MFRS 7 : Disclosures - offsetting Financial Assets and Financial Liabilities</w:t>
            </w:r>
          </w:p>
        </w:tc>
        <w:tc>
          <w:tcPr>
            <w:tcW w:w="270" w:type="dxa"/>
            <w:tcBorders>
              <w:top w:val="nil"/>
              <w:left w:val="nil"/>
              <w:bottom w:val="nil"/>
              <w:right w:val="nil"/>
            </w:tcBorders>
            <w:shd w:val="clear" w:color="auto" w:fill="auto"/>
            <w:vAlign w:val="center"/>
            <w:hideMark/>
          </w:tcPr>
          <w:p w:rsidR="003F4538" w:rsidRPr="00680B4E" w:rsidRDefault="003F4538" w:rsidP="00B27ADC">
            <w:pPr>
              <w:jc w:val="both"/>
              <w:rPr>
                <w:rFonts w:ascii="Calibri" w:hAnsi="Calibri" w:cs="Arial"/>
              </w:rPr>
            </w:pPr>
          </w:p>
        </w:tc>
        <w:tc>
          <w:tcPr>
            <w:tcW w:w="517" w:type="dxa"/>
            <w:tcBorders>
              <w:top w:val="nil"/>
              <w:left w:val="nil"/>
              <w:bottom w:val="nil"/>
              <w:right w:val="nil"/>
            </w:tcBorders>
            <w:shd w:val="clear" w:color="auto" w:fill="auto"/>
            <w:vAlign w:val="center"/>
            <w:hideMark/>
          </w:tcPr>
          <w:p w:rsidR="003F4538" w:rsidRPr="00680B4E" w:rsidRDefault="003F4538" w:rsidP="00B27ADC">
            <w:pPr>
              <w:jc w:val="both"/>
              <w:rPr>
                <w:rFonts w:ascii="Calibri" w:hAnsi="Calibri" w:cs="Arial"/>
              </w:rPr>
            </w:pPr>
          </w:p>
        </w:tc>
        <w:tc>
          <w:tcPr>
            <w:tcW w:w="239" w:type="dxa"/>
            <w:tcBorders>
              <w:top w:val="nil"/>
              <w:left w:val="nil"/>
              <w:bottom w:val="nil"/>
              <w:right w:val="nil"/>
            </w:tcBorders>
            <w:shd w:val="clear" w:color="auto" w:fill="auto"/>
            <w:vAlign w:val="center"/>
            <w:hideMark/>
          </w:tcPr>
          <w:p w:rsidR="003F4538" w:rsidRPr="00680B4E" w:rsidRDefault="003F4538" w:rsidP="00B27ADC">
            <w:pPr>
              <w:jc w:val="both"/>
              <w:rPr>
                <w:rFonts w:ascii="Calibri" w:hAnsi="Calibri" w:cs="Arial"/>
              </w:rPr>
            </w:pPr>
          </w:p>
        </w:tc>
        <w:tc>
          <w:tcPr>
            <w:tcW w:w="2700" w:type="dxa"/>
            <w:tcBorders>
              <w:top w:val="nil"/>
              <w:left w:val="nil"/>
              <w:bottom w:val="nil"/>
              <w:right w:val="nil"/>
            </w:tcBorders>
            <w:shd w:val="clear" w:color="auto" w:fill="auto"/>
            <w:vAlign w:val="center"/>
            <w:hideMark/>
          </w:tcPr>
          <w:p w:rsidR="003F4538" w:rsidRPr="00680B4E" w:rsidRDefault="003F4538" w:rsidP="00B27ADC">
            <w:pPr>
              <w:jc w:val="right"/>
              <w:rPr>
                <w:rFonts w:ascii="Calibri" w:hAnsi="Calibri" w:cs="Arial"/>
              </w:rPr>
            </w:pPr>
            <w:r w:rsidRPr="00680B4E">
              <w:rPr>
                <w:rFonts w:ascii="Calibri" w:hAnsi="Calibri" w:cs="Arial"/>
              </w:rPr>
              <w:t>1 January 2013</w:t>
            </w:r>
          </w:p>
        </w:tc>
      </w:tr>
      <w:tr w:rsidR="003F4538" w:rsidRPr="00680B4E" w:rsidTr="003F4538">
        <w:trPr>
          <w:trHeight w:val="323"/>
        </w:trPr>
        <w:tc>
          <w:tcPr>
            <w:tcW w:w="563" w:type="dxa"/>
            <w:tcBorders>
              <w:top w:val="nil"/>
              <w:left w:val="nil"/>
              <w:bottom w:val="nil"/>
              <w:right w:val="nil"/>
            </w:tcBorders>
            <w:shd w:val="clear" w:color="auto" w:fill="auto"/>
            <w:noWrap/>
            <w:vAlign w:val="bottom"/>
            <w:hideMark/>
          </w:tcPr>
          <w:p w:rsidR="003F4538" w:rsidRPr="00680B4E" w:rsidRDefault="003F4538" w:rsidP="00B27ADC">
            <w:pPr>
              <w:rPr>
                <w:rFonts w:ascii="Calibri" w:hAnsi="Calibri" w:cs="Arial"/>
              </w:rPr>
            </w:pPr>
          </w:p>
        </w:tc>
        <w:tc>
          <w:tcPr>
            <w:tcW w:w="6277" w:type="dxa"/>
            <w:gridSpan w:val="4"/>
            <w:tcBorders>
              <w:top w:val="nil"/>
              <w:left w:val="nil"/>
              <w:bottom w:val="nil"/>
              <w:right w:val="nil"/>
            </w:tcBorders>
            <w:shd w:val="clear" w:color="auto" w:fill="auto"/>
            <w:noWrap/>
            <w:vAlign w:val="bottom"/>
            <w:hideMark/>
          </w:tcPr>
          <w:p w:rsidR="003F4538" w:rsidRPr="00680B4E" w:rsidRDefault="003F4538" w:rsidP="00B27ADC">
            <w:pPr>
              <w:rPr>
                <w:rFonts w:ascii="Calibri" w:hAnsi="Calibri" w:cs="Arial"/>
              </w:rPr>
            </w:pPr>
            <w:r>
              <w:rPr>
                <w:rFonts w:ascii="Calibri" w:hAnsi="Calibri" w:cs="Arial"/>
              </w:rPr>
              <w:t>Amendments to MFRS 101 : Presentation of Items of Other Comprehensive Income</w:t>
            </w:r>
          </w:p>
        </w:tc>
        <w:tc>
          <w:tcPr>
            <w:tcW w:w="270" w:type="dxa"/>
            <w:tcBorders>
              <w:top w:val="nil"/>
              <w:left w:val="nil"/>
              <w:bottom w:val="nil"/>
              <w:right w:val="nil"/>
            </w:tcBorders>
            <w:shd w:val="clear" w:color="auto" w:fill="auto"/>
            <w:vAlign w:val="center"/>
            <w:hideMark/>
          </w:tcPr>
          <w:p w:rsidR="003F4538" w:rsidRPr="00680B4E" w:rsidRDefault="003F4538" w:rsidP="00B27ADC">
            <w:pPr>
              <w:jc w:val="both"/>
              <w:rPr>
                <w:rFonts w:ascii="Calibri" w:hAnsi="Calibri" w:cs="Arial"/>
              </w:rPr>
            </w:pPr>
          </w:p>
        </w:tc>
        <w:tc>
          <w:tcPr>
            <w:tcW w:w="517" w:type="dxa"/>
            <w:tcBorders>
              <w:top w:val="nil"/>
              <w:left w:val="nil"/>
              <w:bottom w:val="nil"/>
              <w:right w:val="nil"/>
            </w:tcBorders>
            <w:shd w:val="clear" w:color="auto" w:fill="auto"/>
            <w:vAlign w:val="center"/>
            <w:hideMark/>
          </w:tcPr>
          <w:p w:rsidR="003F4538" w:rsidRPr="00680B4E" w:rsidRDefault="003F4538" w:rsidP="00B27ADC">
            <w:pPr>
              <w:jc w:val="both"/>
              <w:rPr>
                <w:rFonts w:ascii="Calibri" w:hAnsi="Calibri" w:cs="Arial"/>
              </w:rPr>
            </w:pPr>
          </w:p>
        </w:tc>
        <w:tc>
          <w:tcPr>
            <w:tcW w:w="239" w:type="dxa"/>
            <w:tcBorders>
              <w:top w:val="nil"/>
              <w:left w:val="nil"/>
              <w:bottom w:val="nil"/>
              <w:right w:val="nil"/>
            </w:tcBorders>
            <w:shd w:val="clear" w:color="auto" w:fill="auto"/>
            <w:vAlign w:val="center"/>
            <w:hideMark/>
          </w:tcPr>
          <w:p w:rsidR="003F4538" w:rsidRPr="00680B4E" w:rsidRDefault="003F4538" w:rsidP="00B27ADC">
            <w:pPr>
              <w:jc w:val="both"/>
              <w:rPr>
                <w:rFonts w:ascii="Calibri" w:hAnsi="Calibri" w:cs="Arial"/>
              </w:rPr>
            </w:pPr>
          </w:p>
        </w:tc>
        <w:tc>
          <w:tcPr>
            <w:tcW w:w="2700" w:type="dxa"/>
            <w:tcBorders>
              <w:top w:val="nil"/>
              <w:left w:val="nil"/>
              <w:bottom w:val="nil"/>
              <w:right w:val="nil"/>
            </w:tcBorders>
            <w:shd w:val="clear" w:color="auto" w:fill="auto"/>
            <w:vAlign w:val="center"/>
            <w:hideMark/>
          </w:tcPr>
          <w:p w:rsidR="003F4538" w:rsidRDefault="003F4538" w:rsidP="003F4538">
            <w:pPr>
              <w:jc w:val="right"/>
              <w:rPr>
                <w:rFonts w:ascii="Calibri" w:hAnsi="Calibri" w:cs="Arial"/>
              </w:rPr>
            </w:pPr>
            <w:r>
              <w:rPr>
                <w:rFonts w:ascii="Calibri" w:hAnsi="Calibri" w:cs="Arial"/>
              </w:rPr>
              <w:t>1 July 2012</w:t>
            </w:r>
          </w:p>
          <w:p w:rsidR="003F4538" w:rsidRPr="00680B4E" w:rsidRDefault="003F4538" w:rsidP="00B27ADC">
            <w:pPr>
              <w:jc w:val="right"/>
              <w:rPr>
                <w:rFonts w:ascii="Calibri" w:hAnsi="Calibri" w:cs="Arial"/>
              </w:rPr>
            </w:pPr>
          </w:p>
        </w:tc>
      </w:tr>
      <w:tr w:rsidR="003F4538" w:rsidRPr="00680B4E" w:rsidTr="003F4538">
        <w:trPr>
          <w:trHeight w:val="323"/>
        </w:trPr>
        <w:tc>
          <w:tcPr>
            <w:tcW w:w="563" w:type="dxa"/>
            <w:tcBorders>
              <w:top w:val="nil"/>
              <w:left w:val="nil"/>
              <w:bottom w:val="nil"/>
              <w:right w:val="nil"/>
            </w:tcBorders>
            <w:shd w:val="clear" w:color="auto" w:fill="auto"/>
            <w:noWrap/>
            <w:vAlign w:val="bottom"/>
            <w:hideMark/>
          </w:tcPr>
          <w:p w:rsidR="003F4538" w:rsidRPr="00680B4E" w:rsidRDefault="003F4538" w:rsidP="00B27ADC">
            <w:pPr>
              <w:rPr>
                <w:rFonts w:ascii="Calibri" w:hAnsi="Calibri" w:cs="Arial"/>
              </w:rPr>
            </w:pPr>
          </w:p>
        </w:tc>
        <w:tc>
          <w:tcPr>
            <w:tcW w:w="6277" w:type="dxa"/>
            <w:gridSpan w:val="4"/>
            <w:tcBorders>
              <w:top w:val="nil"/>
              <w:left w:val="nil"/>
              <w:bottom w:val="nil"/>
              <w:right w:val="nil"/>
            </w:tcBorders>
            <w:shd w:val="clear" w:color="auto" w:fill="auto"/>
            <w:noWrap/>
            <w:vAlign w:val="bottom"/>
            <w:hideMark/>
          </w:tcPr>
          <w:p w:rsidR="003F4538" w:rsidRPr="00680B4E" w:rsidRDefault="003F4538" w:rsidP="00B27ADC">
            <w:pPr>
              <w:rPr>
                <w:rFonts w:ascii="Calibri" w:hAnsi="Calibri" w:cs="Arial"/>
              </w:rPr>
            </w:pPr>
            <w:r>
              <w:rPr>
                <w:rFonts w:ascii="Calibri" w:hAnsi="Calibri" w:cs="Arial"/>
              </w:rPr>
              <w:t>Amendments to MFRS 132 : Offsetting Financial Assets and Financial Liabilities</w:t>
            </w:r>
          </w:p>
        </w:tc>
        <w:tc>
          <w:tcPr>
            <w:tcW w:w="270" w:type="dxa"/>
            <w:tcBorders>
              <w:top w:val="nil"/>
              <w:left w:val="nil"/>
              <w:bottom w:val="nil"/>
              <w:right w:val="nil"/>
            </w:tcBorders>
            <w:shd w:val="clear" w:color="auto" w:fill="auto"/>
            <w:vAlign w:val="center"/>
            <w:hideMark/>
          </w:tcPr>
          <w:p w:rsidR="003F4538" w:rsidRPr="00680B4E" w:rsidRDefault="003F4538" w:rsidP="00B27ADC">
            <w:pPr>
              <w:jc w:val="both"/>
              <w:rPr>
                <w:rFonts w:ascii="Calibri" w:hAnsi="Calibri" w:cs="Arial"/>
              </w:rPr>
            </w:pPr>
          </w:p>
        </w:tc>
        <w:tc>
          <w:tcPr>
            <w:tcW w:w="517" w:type="dxa"/>
            <w:tcBorders>
              <w:top w:val="nil"/>
              <w:left w:val="nil"/>
              <w:bottom w:val="nil"/>
              <w:right w:val="nil"/>
            </w:tcBorders>
            <w:shd w:val="clear" w:color="auto" w:fill="auto"/>
            <w:vAlign w:val="center"/>
            <w:hideMark/>
          </w:tcPr>
          <w:p w:rsidR="003F4538" w:rsidRPr="00680B4E" w:rsidRDefault="003F4538" w:rsidP="00B27ADC">
            <w:pPr>
              <w:jc w:val="both"/>
              <w:rPr>
                <w:rFonts w:ascii="Calibri" w:hAnsi="Calibri" w:cs="Arial"/>
              </w:rPr>
            </w:pPr>
          </w:p>
        </w:tc>
        <w:tc>
          <w:tcPr>
            <w:tcW w:w="239" w:type="dxa"/>
            <w:tcBorders>
              <w:top w:val="nil"/>
              <w:left w:val="nil"/>
              <w:bottom w:val="nil"/>
              <w:right w:val="nil"/>
            </w:tcBorders>
            <w:shd w:val="clear" w:color="auto" w:fill="auto"/>
            <w:vAlign w:val="center"/>
            <w:hideMark/>
          </w:tcPr>
          <w:p w:rsidR="003F4538" w:rsidRPr="00680B4E" w:rsidRDefault="003F4538" w:rsidP="00B27ADC">
            <w:pPr>
              <w:jc w:val="both"/>
              <w:rPr>
                <w:rFonts w:ascii="Calibri" w:hAnsi="Calibri" w:cs="Arial"/>
              </w:rPr>
            </w:pPr>
          </w:p>
        </w:tc>
        <w:tc>
          <w:tcPr>
            <w:tcW w:w="2700" w:type="dxa"/>
            <w:tcBorders>
              <w:top w:val="nil"/>
              <w:left w:val="nil"/>
              <w:bottom w:val="nil"/>
              <w:right w:val="nil"/>
            </w:tcBorders>
            <w:shd w:val="clear" w:color="auto" w:fill="auto"/>
            <w:vAlign w:val="center"/>
            <w:hideMark/>
          </w:tcPr>
          <w:p w:rsidR="003F4538" w:rsidRPr="00680B4E" w:rsidRDefault="003F4538" w:rsidP="003F4538">
            <w:pPr>
              <w:jc w:val="right"/>
              <w:rPr>
                <w:rFonts w:ascii="Calibri" w:hAnsi="Calibri" w:cs="Arial"/>
              </w:rPr>
            </w:pPr>
            <w:r w:rsidRPr="00680B4E">
              <w:rPr>
                <w:rFonts w:ascii="Calibri" w:hAnsi="Calibri" w:cs="Arial"/>
              </w:rPr>
              <w:t>1 January 201</w:t>
            </w:r>
            <w:r>
              <w:rPr>
                <w:rFonts w:ascii="Calibri" w:hAnsi="Calibri" w:cs="Arial"/>
              </w:rPr>
              <w:t>4</w:t>
            </w:r>
          </w:p>
        </w:tc>
      </w:tr>
    </w:tbl>
    <w:p w:rsidR="00680B4E" w:rsidRDefault="00680B4E" w:rsidP="00680B4E">
      <w:pPr>
        <w:ind w:left="360"/>
        <w:jc w:val="both"/>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AUDIT QUALIFICATION</w:t>
      </w:r>
    </w:p>
    <w:p w:rsidR="0097093A" w:rsidRPr="00687500" w:rsidRDefault="0097093A" w:rsidP="00C72DBF">
      <w:pPr>
        <w:pStyle w:val="BodyTextIndent2"/>
        <w:rPr>
          <w:rFonts w:ascii="Tahoma" w:hAnsi="Tahoma" w:cs="Tahoma"/>
          <w:sz w:val="22"/>
          <w:szCs w:val="22"/>
        </w:rPr>
      </w:pPr>
    </w:p>
    <w:p w:rsidR="00291059" w:rsidRPr="00687500" w:rsidRDefault="00291059" w:rsidP="00C72DBF">
      <w:pPr>
        <w:pStyle w:val="BodyTextIndent2"/>
        <w:rPr>
          <w:rFonts w:ascii="Tahoma" w:hAnsi="Tahoma" w:cs="Tahoma"/>
          <w:sz w:val="22"/>
          <w:szCs w:val="22"/>
        </w:rPr>
      </w:pPr>
      <w:r w:rsidRPr="00687500">
        <w:rPr>
          <w:rFonts w:ascii="Tahoma" w:hAnsi="Tahoma" w:cs="Tahoma"/>
          <w:sz w:val="22"/>
          <w:szCs w:val="22"/>
        </w:rPr>
        <w:t xml:space="preserve">The auditors’ opinion on the Group’s </w:t>
      </w:r>
      <w:r w:rsidR="00ED6928" w:rsidRPr="00687500">
        <w:rPr>
          <w:rFonts w:ascii="Tahoma" w:hAnsi="Tahoma" w:cs="Tahoma"/>
          <w:sz w:val="22"/>
          <w:szCs w:val="22"/>
        </w:rPr>
        <w:t xml:space="preserve">audited </w:t>
      </w:r>
      <w:r w:rsidRPr="00687500">
        <w:rPr>
          <w:rFonts w:ascii="Tahoma" w:hAnsi="Tahoma" w:cs="Tahoma"/>
          <w:sz w:val="22"/>
          <w:szCs w:val="22"/>
        </w:rPr>
        <w:t>financial statements for the financial year ended 31 December 20</w:t>
      </w:r>
      <w:r w:rsidR="0092560B" w:rsidRPr="00687500">
        <w:rPr>
          <w:rFonts w:ascii="Tahoma" w:hAnsi="Tahoma" w:cs="Tahoma"/>
          <w:sz w:val="22"/>
          <w:szCs w:val="22"/>
        </w:rPr>
        <w:t>1</w:t>
      </w:r>
      <w:r w:rsidR="003F088B">
        <w:rPr>
          <w:rFonts w:ascii="Tahoma" w:hAnsi="Tahoma" w:cs="Tahoma"/>
          <w:sz w:val="22"/>
          <w:szCs w:val="22"/>
        </w:rPr>
        <w:t>1</w:t>
      </w:r>
      <w:r w:rsidRPr="00687500">
        <w:rPr>
          <w:rFonts w:ascii="Tahoma" w:hAnsi="Tahoma" w:cs="Tahoma"/>
          <w:sz w:val="22"/>
          <w:szCs w:val="22"/>
        </w:rPr>
        <w:t xml:space="preserve"> was unqualified.  </w:t>
      </w:r>
    </w:p>
    <w:p w:rsidR="005A27BE" w:rsidRPr="00687500" w:rsidRDefault="005A27BE" w:rsidP="00C72DBF">
      <w:pPr>
        <w:jc w:val="both"/>
        <w:rPr>
          <w:rFonts w:ascii="Tahoma" w:hAnsi="Tahoma" w:cs="Tahoma"/>
          <w:sz w:val="22"/>
          <w:szCs w:val="22"/>
        </w:rPr>
      </w:pPr>
    </w:p>
    <w:p w:rsidR="0097093A" w:rsidRPr="00687500" w:rsidRDefault="0097093A" w:rsidP="00C72DBF">
      <w:pPr>
        <w:jc w:val="both"/>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SEASONAL OR CYCLICAL FACTORS</w:t>
      </w:r>
    </w:p>
    <w:p w:rsidR="00291059" w:rsidRPr="00687500" w:rsidRDefault="00291059" w:rsidP="00C72DBF">
      <w:pPr>
        <w:jc w:val="both"/>
        <w:rPr>
          <w:rFonts w:ascii="Tahoma" w:hAnsi="Tahoma" w:cs="Tahoma"/>
          <w:sz w:val="22"/>
          <w:szCs w:val="22"/>
        </w:rPr>
      </w:pPr>
    </w:p>
    <w:p w:rsidR="00291059" w:rsidRPr="00687500" w:rsidRDefault="00291059" w:rsidP="00C72DBF">
      <w:pPr>
        <w:ind w:left="360"/>
        <w:jc w:val="both"/>
        <w:rPr>
          <w:rFonts w:ascii="Tahoma" w:hAnsi="Tahoma" w:cs="Tahoma"/>
          <w:sz w:val="22"/>
          <w:szCs w:val="22"/>
        </w:rPr>
      </w:pPr>
      <w:r w:rsidRPr="00687500">
        <w:rPr>
          <w:rFonts w:ascii="Tahoma" w:hAnsi="Tahoma" w:cs="Tahoma"/>
          <w:sz w:val="22"/>
          <w:szCs w:val="22"/>
        </w:rPr>
        <w:t xml:space="preserve">The Group’s operations </w:t>
      </w:r>
      <w:r w:rsidR="00633496" w:rsidRPr="00687500">
        <w:rPr>
          <w:rFonts w:ascii="Tahoma" w:hAnsi="Tahoma" w:cs="Tahoma"/>
          <w:sz w:val="22"/>
          <w:szCs w:val="22"/>
        </w:rPr>
        <w:t>are not a</w:t>
      </w:r>
      <w:r w:rsidRPr="00687500">
        <w:rPr>
          <w:rFonts w:ascii="Tahoma" w:hAnsi="Tahoma" w:cs="Tahoma"/>
          <w:sz w:val="22"/>
          <w:szCs w:val="22"/>
        </w:rPr>
        <w:t xml:space="preserve">ffected by </w:t>
      </w:r>
      <w:r w:rsidR="00633496" w:rsidRPr="00687500">
        <w:rPr>
          <w:rFonts w:ascii="Tahoma" w:hAnsi="Tahoma" w:cs="Tahoma"/>
          <w:sz w:val="22"/>
          <w:szCs w:val="22"/>
        </w:rPr>
        <w:t xml:space="preserve">any </w:t>
      </w:r>
      <w:r w:rsidRPr="00687500">
        <w:rPr>
          <w:rFonts w:ascii="Tahoma" w:hAnsi="Tahoma" w:cs="Tahoma"/>
          <w:sz w:val="22"/>
          <w:szCs w:val="22"/>
        </w:rPr>
        <w:t xml:space="preserve">seasonal or cyclical factors. </w:t>
      </w:r>
    </w:p>
    <w:p w:rsidR="00291059" w:rsidRPr="00687500" w:rsidRDefault="00291059" w:rsidP="00C72DBF">
      <w:pPr>
        <w:jc w:val="both"/>
        <w:rPr>
          <w:rFonts w:ascii="Tahoma" w:hAnsi="Tahoma" w:cs="Tahoma"/>
          <w:sz w:val="22"/>
          <w:szCs w:val="22"/>
        </w:rPr>
      </w:pPr>
    </w:p>
    <w:p w:rsidR="005A27BE" w:rsidRPr="00687500" w:rsidRDefault="005A27BE" w:rsidP="00C72DBF">
      <w:pPr>
        <w:jc w:val="both"/>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UNUSUAL ITEMS</w:t>
      </w:r>
    </w:p>
    <w:p w:rsidR="00291059" w:rsidRPr="00687500" w:rsidRDefault="00291059" w:rsidP="00C72DBF">
      <w:pPr>
        <w:jc w:val="both"/>
        <w:rPr>
          <w:rFonts w:ascii="Tahoma" w:hAnsi="Tahoma" w:cs="Tahoma"/>
          <w:sz w:val="22"/>
          <w:szCs w:val="22"/>
        </w:rPr>
      </w:pPr>
    </w:p>
    <w:p w:rsidR="0005432F" w:rsidRPr="00687500" w:rsidRDefault="0005432F" w:rsidP="00C72DBF">
      <w:pPr>
        <w:ind w:left="360"/>
        <w:jc w:val="both"/>
        <w:rPr>
          <w:rFonts w:ascii="Tahoma" w:hAnsi="Tahoma" w:cs="Tahoma"/>
          <w:sz w:val="22"/>
          <w:szCs w:val="22"/>
        </w:rPr>
      </w:pPr>
      <w:r w:rsidRPr="00687500">
        <w:rPr>
          <w:rFonts w:ascii="Tahoma" w:hAnsi="Tahoma" w:cs="Tahoma"/>
          <w:sz w:val="22"/>
          <w:szCs w:val="22"/>
        </w:rPr>
        <w:t xml:space="preserve">There were no unusual items affecting assets, liabilities, equity, net income or cash flows </w:t>
      </w:r>
      <w:r w:rsidR="00E6245E" w:rsidRPr="00687500">
        <w:rPr>
          <w:rFonts w:ascii="Tahoma" w:hAnsi="Tahoma" w:cs="Tahoma"/>
          <w:sz w:val="22"/>
          <w:szCs w:val="22"/>
        </w:rPr>
        <w:t xml:space="preserve">because of their nature, size and incidence </w:t>
      </w:r>
      <w:r w:rsidRPr="00687500">
        <w:rPr>
          <w:rFonts w:ascii="Tahoma" w:hAnsi="Tahoma" w:cs="Tahoma"/>
          <w:sz w:val="22"/>
          <w:szCs w:val="22"/>
        </w:rPr>
        <w:t>during the</w:t>
      </w:r>
      <w:r w:rsidR="00ED6928" w:rsidRPr="00687500">
        <w:rPr>
          <w:rFonts w:ascii="Tahoma" w:hAnsi="Tahoma" w:cs="Tahoma"/>
          <w:sz w:val="22"/>
          <w:szCs w:val="22"/>
        </w:rPr>
        <w:t xml:space="preserve"> current</w:t>
      </w:r>
      <w:r w:rsidRPr="00687500">
        <w:rPr>
          <w:rFonts w:ascii="Tahoma" w:hAnsi="Tahoma" w:cs="Tahoma"/>
          <w:sz w:val="22"/>
          <w:szCs w:val="22"/>
        </w:rPr>
        <w:t xml:space="preserve"> quarter under review</w:t>
      </w:r>
      <w:r w:rsidR="00ED6928" w:rsidRPr="00687500">
        <w:rPr>
          <w:rFonts w:ascii="Tahoma" w:hAnsi="Tahoma" w:cs="Tahoma"/>
          <w:sz w:val="22"/>
          <w:szCs w:val="22"/>
        </w:rPr>
        <w:t xml:space="preserve"> and financial year-to-date</w:t>
      </w:r>
      <w:r w:rsidRPr="00687500">
        <w:rPr>
          <w:rFonts w:ascii="Tahoma" w:hAnsi="Tahoma" w:cs="Tahoma"/>
          <w:sz w:val="22"/>
          <w:szCs w:val="22"/>
        </w:rPr>
        <w:t>.</w:t>
      </w:r>
    </w:p>
    <w:p w:rsidR="00A067AB" w:rsidRDefault="00A067AB" w:rsidP="00C72DBF">
      <w:pPr>
        <w:ind w:left="360"/>
        <w:jc w:val="both"/>
        <w:rPr>
          <w:rFonts w:ascii="Tahoma" w:hAnsi="Tahoma" w:cs="Tahoma"/>
          <w:sz w:val="22"/>
          <w:szCs w:val="22"/>
        </w:rPr>
      </w:pPr>
    </w:p>
    <w:p w:rsidR="003F4538" w:rsidRDefault="003F4538" w:rsidP="00C72DBF">
      <w:pPr>
        <w:ind w:left="360"/>
        <w:jc w:val="both"/>
        <w:rPr>
          <w:rFonts w:ascii="Tahoma" w:hAnsi="Tahoma" w:cs="Tahoma"/>
          <w:sz w:val="22"/>
          <w:szCs w:val="22"/>
        </w:rPr>
      </w:pPr>
    </w:p>
    <w:p w:rsidR="003F4538" w:rsidRPr="00687500" w:rsidRDefault="003F4538" w:rsidP="00C72DBF">
      <w:pPr>
        <w:ind w:left="360"/>
        <w:jc w:val="both"/>
        <w:rPr>
          <w:rFonts w:ascii="Tahoma" w:hAnsi="Tahoma" w:cs="Tahoma"/>
          <w:sz w:val="22"/>
          <w:szCs w:val="22"/>
        </w:rPr>
      </w:pPr>
    </w:p>
    <w:p w:rsidR="00E6245E" w:rsidRPr="00687500" w:rsidRDefault="00E6245E" w:rsidP="00C72DBF">
      <w:pPr>
        <w:ind w:left="360"/>
        <w:jc w:val="both"/>
        <w:rPr>
          <w:rFonts w:ascii="Tahoma" w:hAnsi="Tahoma" w:cs="Tahoma"/>
          <w:sz w:val="22"/>
          <w:szCs w:val="22"/>
        </w:rPr>
      </w:pPr>
    </w:p>
    <w:p w:rsidR="00291059" w:rsidRPr="00687500" w:rsidRDefault="00ED6928" w:rsidP="00C72DBF">
      <w:pPr>
        <w:numPr>
          <w:ilvl w:val="0"/>
          <w:numId w:val="1"/>
        </w:numPr>
        <w:jc w:val="both"/>
        <w:rPr>
          <w:rFonts w:ascii="Tahoma" w:hAnsi="Tahoma" w:cs="Tahoma"/>
          <w:b/>
          <w:sz w:val="22"/>
          <w:szCs w:val="22"/>
        </w:rPr>
      </w:pPr>
      <w:r w:rsidRPr="00687500">
        <w:rPr>
          <w:rFonts w:ascii="Tahoma" w:hAnsi="Tahoma" w:cs="Tahoma"/>
          <w:b/>
          <w:sz w:val="22"/>
          <w:szCs w:val="22"/>
        </w:rPr>
        <w:lastRenderedPageBreak/>
        <w:t xml:space="preserve">MATERIAL </w:t>
      </w:r>
      <w:r w:rsidR="00291059" w:rsidRPr="00687500">
        <w:rPr>
          <w:rFonts w:ascii="Tahoma" w:hAnsi="Tahoma" w:cs="Tahoma"/>
          <w:b/>
          <w:sz w:val="22"/>
          <w:szCs w:val="22"/>
        </w:rPr>
        <w:t>CHANGES IN ESTIMATES</w:t>
      </w:r>
    </w:p>
    <w:p w:rsidR="00291059" w:rsidRPr="00687500" w:rsidRDefault="00291059" w:rsidP="00C72DBF">
      <w:pPr>
        <w:ind w:left="360"/>
        <w:jc w:val="both"/>
        <w:rPr>
          <w:rFonts w:ascii="Tahoma" w:hAnsi="Tahoma" w:cs="Tahoma"/>
          <w:b/>
          <w:sz w:val="22"/>
          <w:szCs w:val="22"/>
        </w:rPr>
      </w:pPr>
    </w:p>
    <w:p w:rsidR="00ED6928" w:rsidRPr="00687500" w:rsidRDefault="00ED6928" w:rsidP="00C72DBF">
      <w:pPr>
        <w:pStyle w:val="BodyTextIndent2"/>
        <w:rPr>
          <w:rFonts w:ascii="Tahoma" w:hAnsi="Tahoma" w:cs="Tahoma"/>
          <w:sz w:val="22"/>
          <w:szCs w:val="22"/>
        </w:rPr>
      </w:pPr>
      <w:r w:rsidRPr="00687500">
        <w:rPr>
          <w:rFonts w:ascii="Tahoma" w:hAnsi="Tahoma" w:cs="Tahoma"/>
          <w:sz w:val="22"/>
          <w:szCs w:val="22"/>
        </w:rPr>
        <w:t>There were no changes in estimates that have a material effect in the current quarter under review and financial year-to-date.</w:t>
      </w:r>
    </w:p>
    <w:p w:rsidR="00662FBA" w:rsidRPr="00687500" w:rsidRDefault="00ED6928" w:rsidP="00C72DBF">
      <w:pPr>
        <w:pStyle w:val="BodyTextIndent2"/>
        <w:rPr>
          <w:rFonts w:ascii="Tahoma" w:hAnsi="Tahoma" w:cs="Tahoma"/>
          <w:sz w:val="22"/>
          <w:szCs w:val="22"/>
        </w:rPr>
      </w:pPr>
      <w:r w:rsidRPr="00687500">
        <w:rPr>
          <w:rFonts w:ascii="Tahoma" w:hAnsi="Tahoma" w:cs="Tahoma"/>
          <w:sz w:val="22"/>
          <w:szCs w:val="22"/>
        </w:rPr>
        <w:t xml:space="preserve"> </w:t>
      </w:r>
    </w:p>
    <w:p w:rsidR="005A27BE" w:rsidRPr="00687500" w:rsidRDefault="005A27BE" w:rsidP="00C72DBF">
      <w:pPr>
        <w:pStyle w:val="BodyTextIndent2"/>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DEBTS AND EQUITY SECURITIES</w:t>
      </w:r>
    </w:p>
    <w:p w:rsidR="00291059" w:rsidRPr="00687500" w:rsidRDefault="00291059" w:rsidP="00C72DBF">
      <w:pPr>
        <w:jc w:val="both"/>
        <w:rPr>
          <w:rFonts w:ascii="Tahoma" w:hAnsi="Tahoma" w:cs="Tahoma"/>
          <w:sz w:val="22"/>
          <w:szCs w:val="22"/>
        </w:rPr>
      </w:pPr>
    </w:p>
    <w:p w:rsidR="00291059" w:rsidRPr="00687500" w:rsidRDefault="00291059" w:rsidP="00C72DBF">
      <w:pPr>
        <w:pStyle w:val="BodyTextIndent2"/>
        <w:rPr>
          <w:rFonts w:ascii="Tahoma" w:hAnsi="Tahoma" w:cs="Tahoma"/>
          <w:sz w:val="22"/>
          <w:szCs w:val="22"/>
        </w:rPr>
      </w:pPr>
      <w:r w:rsidRPr="00687500">
        <w:rPr>
          <w:rFonts w:ascii="Tahoma" w:hAnsi="Tahoma" w:cs="Tahoma"/>
          <w:sz w:val="22"/>
          <w:szCs w:val="22"/>
        </w:rPr>
        <w:t xml:space="preserve">There were no issuance, cancellation, repurchase, resale and repayment of debt and equity securities during the </w:t>
      </w:r>
      <w:r w:rsidR="00ED6928" w:rsidRPr="00687500">
        <w:rPr>
          <w:rFonts w:ascii="Tahoma" w:hAnsi="Tahoma" w:cs="Tahoma"/>
          <w:sz w:val="22"/>
          <w:szCs w:val="22"/>
        </w:rPr>
        <w:t xml:space="preserve">current </w:t>
      </w:r>
      <w:r w:rsidRPr="00687500">
        <w:rPr>
          <w:rFonts w:ascii="Tahoma" w:hAnsi="Tahoma" w:cs="Tahoma"/>
          <w:sz w:val="22"/>
          <w:szCs w:val="22"/>
        </w:rPr>
        <w:t>quarter under review</w:t>
      </w:r>
      <w:r w:rsidR="00ED6928" w:rsidRPr="00687500">
        <w:rPr>
          <w:rFonts w:ascii="Tahoma" w:hAnsi="Tahoma" w:cs="Tahoma"/>
          <w:sz w:val="22"/>
          <w:szCs w:val="22"/>
        </w:rPr>
        <w:t xml:space="preserve"> a</w:t>
      </w:r>
      <w:r w:rsidR="00D14DF8" w:rsidRPr="00687500">
        <w:rPr>
          <w:rFonts w:ascii="Tahoma" w:hAnsi="Tahoma" w:cs="Tahoma"/>
          <w:sz w:val="22"/>
          <w:szCs w:val="22"/>
        </w:rPr>
        <w:t>nd financial year-to-date</w:t>
      </w:r>
      <w:r w:rsidRPr="00687500">
        <w:rPr>
          <w:rFonts w:ascii="Tahoma" w:hAnsi="Tahoma" w:cs="Tahoma"/>
          <w:sz w:val="22"/>
          <w:szCs w:val="22"/>
        </w:rPr>
        <w:t>.</w:t>
      </w:r>
    </w:p>
    <w:p w:rsidR="005A27BE" w:rsidRPr="00687500" w:rsidRDefault="005A27BE" w:rsidP="00C72DBF">
      <w:pPr>
        <w:jc w:val="both"/>
        <w:rPr>
          <w:rFonts w:ascii="Tahoma" w:hAnsi="Tahoma" w:cs="Tahoma"/>
          <w:sz w:val="22"/>
          <w:szCs w:val="22"/>
        </w:rPr>
      </w:pPr>
    </w:p>
    <w:p w:rsidR="008538FC" w:rsidRPr="00687500" w:rsidRDefault="008538FC" w:rsidP="00C72DBF">
      <w:pPr>
        <w:jc w:val="both"/>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DIVIDENDS PAID</w:t>
      </w:r>
    </w:p>
    <w:p w:rsidR="0048011D" w:rsidRPr="00687500" w:rsidRDefault="0048011D" w:rsidP="00C72DBF">
      <w:pPr>
        <w:ind w:left="360"/>
        <w:jc w:val="both"/>
        <w:rPr>
          <w:rFonts w:ascii="Tahoma" w:hAnsi="Tahoma" w:cs="Tahoma"/>
          <w:sz w:val="22"/>
          <w:szCs w:val="22"/>
        </w:rPr>
      </w:pPr>
    </w:p>
    <w:p w:rsidR="00C72DBF" w:rsidRDefault="00291059" w:rsidP="001F1B06">
      <w:pPr>
        <w:ind w:left="360"/>
        <w:jc w:val="both"/>
        <w:rPr>
          <w:rFonts w:ascii="Tahoma" w:hAnsi="Tahoma" w:cs="Tahoma"/>
          <w:sz w:val="22"/>
          <w:szCs w:val="22"/>
        </w:rPr>
      </w:pPr>
      <w:r w:rsidRPr="00687500">
        <w:rPr>
          <w:rFonts w:ascii="Tahoma" w:hAnsi="Tahoma" w:cs="Tahoma"/>
          <w:sz w:val="22"/>
          <w:szCs w:val="22"/>
        </w:rPr>
        <w:t xml:space="preserve">There were no dividends paid </w:t>
      </w:r>
      <w:r w:rsidR="00500E6C" w:rsidRPr="00687500">
        <w:rPr>
          <w:rFonts w:ascii="Tahoma" w:hAnsi="Tahoma" w:cs="Tahoma"/>
          <w:sz w:val="22"/>
          <w:szCs w:val="22"/>
        </w:rPr>
        <w:t>by the Company</w:t>
      </w:r>
      <w:r w:rsidRPr="00687500">
        <w:rPr>
          <w:rFonts w:ascii="Tahoma" w:hAnsi="Tahoma" w:cs="Tahoma"/>
          <w:sz w:val="22"/>
          <w:szCs w:val="22"/>
        </w:rPr>
        <w:t xml:space="preserve"> during the </w:t>
      </w:r>
      <w:r w:rsidR="00D14DF8" w:rsidRPr="00687500">
        <w:rPr>
          <w:rFonts w:ascii="Tahoma" w:hAnsi="Tahoma" w:cs="Tahoma"/>
          <w:sz w:val="22"/>
          <w:szCs w:val="22"/>
        </w:rPr>
        <w:t xml:space="preserve">current </w:t>
      </w:r>
      <w:r w:rsidRPr="00687500">
        <w:rPr>
          <w:rFonts w:ascii="Tahoma" w:hAnsi="Tahoma" w:cs="Tahoma"/>
          <w:sz w:val="22"/>
          <w:szCs w:val="22"/>
        </w:rPr>
        <w:t>quarter under review</w:t>
      </w:r>
      <w:r w:rsidR="00D14DF8" w:rsidRPr="00687500">
        <w:rPr>
          <w:rFonts w:ascii="Tahoma" w:hAnsi="Tahoma" w:cs="Tahoma"/>
          <w:sz w:val="22"/>
          <w:szCs w:val="22"/>
        </w:rPr>
        <w:t xml:space="preserve"> and </w:t>
      </w:r>
      <w:r w:rsidR="000C3B10" w:rsidRPr="00687500">
        <w:rPr>
          <w:rFonts w:ascii="Tahoma" w:hAnsi="Tahoma" w:cs="Tahoma"/>
          <w:sz w:val="22"/>
          <w:szCs w:val="22"/>
        </w:rPr>
        <w:t>financial</w:t>
      </w:r>
      <w:r w:rsidR="00D14DF8" w:rsidRPr="00687500">
        <w:rPr>
          <w:rFonts w:ascii="Tahoma" w:hAnsi="Tahoma" w:cs="Tahoma"/>
          <w:sz w:val="22"/>
          <w:szCs w:val="22"/>
        </w:rPr>
        <w:t xml:space="preserve"> year</w:t>
      </w:r>
      <w:r w:rsidR="003C12D1" w:rsidRPr="00687500">
        <w:rPr>
          <w:rFonts w:ascii="Tahoma" w:hAnsi="Tahoma" w:cs="Tahoma"/>
          <w:sz w:val="22"/>
          <w:szCs w:val="22"/>
        </w:rPr>
        <w:t>-</w:t>
      </w:r>
      <w:r w:rsidR="00D14DF8" w:rsidRPr="00687500">
        <w:rPr>
          <w:rFonts w:ascii="Tahoma" w:hAnsi="Tahoma" w:cs="Tahoma"/>
          <w:sz w:val="22"/>
          <w:szCs w:val="22"/>
        </w:rPr>
        <w:t>to</w:t>
      </w:r>
      <w:r w:rsidR="003C12D1" w:rsidRPr="00687500">
        <w:rPr>
          <w:rFonts w:ascii="Tahoma" w:hAnsi="Tahoma" w:cs="Tahoma"/>
          <w:sz w:val="22"/>
          <w:szCs w:val="22"/>
        </w:rPr>
        <w:t>-</w:t>
      </w:r>
      <w:r w:rsidR="00D14DF8" w:rsidRPr="00687500">
        <w:rPr>
          <w:rFonts w:ascii="Tahoma" w:hAnsi="Tahoma" w:cs="Tahoma"/>
          <w:sz w:val="22"/>
          <w:szCs w:val="22"/>
        </w:rPr>
        <w:t>date</w:t>
      </w:r>
      <w:r w:rsidRPr="00687500">
        <w:rPr>
          <w:rFonts w:ascii="Tahoma" w:hAnsi="Tahoma" w:cs="Tahoma"/>
          <w:sz w:val="22"/>
          <w:szCs w:val="22"/>
        </w:rPr>
        <w:t>.</w:t>
      </w:r>
    </w:p>
    <w:p w:rsidR="00320C26" w:rsidRDefault="00320C26" w:rsidP="001F1B06">
      <w:pPr>
        <w:ind w:left="360"/>
        <w:jc w:val="both"/>
        <w:rPr>
          <w:rFonts w:ascii="Tahoma" w:hAnsi="Tahoma" w:cs="Tahoma"/>
          <w:sz w:val="22"/>
          <w:szCs w:val="22"/>
        </w:rPr>
      </w:pPr>
    </w:p>
    <w:p w:rsidR="000442C3" w:rsidRPr="00687500" w:rsidRDefault="000442C3" w:rsidP="00C72DBF">
      <w:pPr>
        <w:numPr>
          <w:ilvl w:val="0"/>
          <w:numId w:val="1"/>
        </w:numPr>
        <w:jc w:val="both"/>
        <w:rPr>
          <w:rFonts w:ascii="Tahoma" w:hAnsi="Tahoma" w:cs="Tahoma"/>
          <w:b/>
          <w:sz w:val="22"/>
          <w:szCs w:val="22"/>
        </w:rPr>
      </w:pPr>
      <w:r w:rsidRPr="00687500">
        <w:rPr>
          <w:rFonts w:ascii="Tahoma" w:hAnsi="Tahoma" w:cs="Tahoma"/>
          <w:b/>
          <w:sz w:val="22"/>
          <w:szCs w:val="22"/>
        </w:rPr>
        <w:t>SEGMENTAL REPORTING</w:t>
      </w:r>
    </w:p>
    <w:p w:rsidR="000442C3" w:rsidRPr="00687500" w:rsidRDefault="000442C3" w:rsidP="00C72DBF">
      <w:pPr>
        <w:jc w:val="both"/>
        <w:rPr>
          <w:rFonts w:ascii="Tahoma" w:hAnsi="Tahoma" w:cs="Tahoma"/>
          <w:sz w:val="22"/>
          <w:szCs w:val="22"/>
        </w:rPr>
      </w:pPr>
    </w:p>
    <w:p w:rsidR="000442C3" w:rsidRPr="00687500" w:rsidRDefault="000442C3" w:rsidP="00C72DBF">
      <w:pPr>
        <w:ind w:left="360"/>
        <w:jc w:val="both"/>
        <w:rPr>
          <w:rFonts w:ascii="Tahoma" w:hAnsi="Tahoma" w:cs="Tahoma"/>
          <w:sz w:val="22"/>
          <w:szCs w:val="22"/>
        </w:rPr>
      </w:pPr>
      <w:r w:rsidRPr="00687500">
        <w:rPr>
          <w:rFonts w:ascii="Tahoma" w:hAnsi="Tahoma" w:cs="Tahoma"/>
          <w:sz w:val="22"/>
          <w:szCs w:val="22"/>
        </w:rPr>
        <w:t xml:space="preserve">The Group’s segmental report for the current </w:t>
      </w:r>
      <w:r w:rsidR="00E6245E" w:rsidRPr="00687500">
        <w:rPr>
          <w:rFonts w:ascii="Tahoma" w:hAnsi="Tahoma" w:cs="Tahoma"/>
          <w:sz w:val="22"/>
          <w:szCs w:val="22"/>
        </w:rPr>
        <w:t>quarter</w:t>
      </w:r>
      <w:r w:rsidRPr="00687500">
        <w:rPr>
          <w:rFonts w:ascii="Tahoma" w:hAnsi="Tahoma" w:cs="Tahoma"/>
          <w:sz w:val="22"/>
          <w:szCs w:val="22"/>
        </w:rPr>
        <w:t xml:space="preserve"> ended 3</w:t>
      </w:r>
      <w:r w:rsidR="006E7376" w:rsidRPr="00687500">
        <w:rPr>
          <w:rFonts w:ascii="Tahoma" w:hAnsi="Tahoma" w:cs="Tahoma"/>
          <w:sz w:val="22"/>
          <w:szCs w:val="22"/>
        </w:rPr>
        <w:t>1</w:t>
      </w:r>
      <w:r w:rsidR="00D14DF8" w:rsidRPr="00687500">
        <w:rPr>
          <w:rFonts w:ascii="Tahoma" w:hAnsi="Tahoma" w:cs="Tahoma"/>
          <w:sz w:val="22"/>
          <w:szCs w:val="22"/>
        </w:rPr>
        <w:t xml:space="preserve"> </w:t>
      </w:r>
      <w:r w:rsidR="005213E1">
        <w:rPr>
          <w:rFonts w:ascii="Tahoma" w:hAnsi="Tahoma" w:cs="Tahoma"/>
          <w:sz w:val="22"/>
          <w:szCs w:val="22"/>
        </w:rPr>
        <w:t>March 2012</w:t>
      </w:r>
      <w:r w:rsidR="002D2421" w:rsidRPr="00687500">
        <w:rPr>
          <w:rFonts w:ascii="Tahoma" w:hAnsi="Tahoma" w:cs="Tahoma"/>
          <w:sz w:val="22"/>
          <w:szCs w:val="22"/>
        </w:rPr>
        <w:t xml:space="preserve"> is</w:t>
      </w:r>
      <w:r w:rsidRPr="00687500">
        <w:rPr>
          <w:rFonts w:ascii="Tahoma" w:hAnsi="Tahoma" w:cs="Tahoma"/>
          <w:sz w:val="22"/>
          <w:szCs w:val="22"/>
        </w:rPr>
        <w:t xml:space="preserve"> as follows: </w:t>
      </w:r>
    </w:p>
    <w:p w:rsidR="000442C3" w:rsidRPr="00687500" w:rsidRDefault="000442C3" w:rsidP="00C72DBF">
      <w:pPr>
        <w:ind w:left="360"/>
        <w:jc w:val="both"/>
        <w:rPr>
          <w:rFonts w:ascii="Tahoma" w:hAnsi="Tahoma" w:cs="Tahoma"/>
          <w:sz w:val="22"/>
          <w:szCs w:val="22"/>
        </w:rPr>
      </w:pPr>
    </w:p>
    <w:tbl>
      <w:tblPr>
        <w:tblW w:w="11502" w:type="dxa"/>
        <w:tblInd w:w="-637" w:type="dxa"/>
        <w:tblLook w:val="0000"/>
      </w:tblPr>
      <w:tblGrid>
        <w:gridCol w:w="1522"/>
        <w:gridCol w:w="1685"/>
        <w:gridCol w:w="286"/>
        <w:gridCol w:w="1505"/>
        <w:gridCol w:w="286"/>
        <w:gridCol w:w="1528"/>
        <w:gridCol w:w="286"/>
        <w:gridCol w:w="1528"/>
        <w:gridCol w:w="1354"/>
        <w:gridCol w:w="1522"/>
      </w:tblGrid>
      <w:tr w:rsidR="00735DCE" w:rsidTr="00735DCE">
        <w:trPr>
          <w:trHeight w:val="1109"/>
        </w:trPr>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b/>
                <w:bCs/>
                <w:color w:val="000000"/>
                <w:sz w:val="22"/>
                <w:szCs w:val="22"/>
              </w:rPr>
            </w:pPr>
          </w:p>
        </w:tc>
        <w:tc>
          <w:tcPr>
            <w:tcW w:w="1685" w:type="dxa"/>
            <w:tcBorders>
              <w:top w:val="nil"/>
              <w:left w:val="nil"/>
              <w:bottom w:val="single" w:sz="8" w:space="0" w:color="auto"/>
              <w:right w:val="nil"/>
            </w:tcBorders>
            <w:shd w:val="clear" w:color="auto" w:fill="auto"/>
            <w:vAlign w:val="bottom"/>
          </w:tcPr>
          <w:p w:rsidR="00F154E6" w:rsidRPr="00735DCE" w:rsidRDefault="00F154E6">
            <w:pPr>
              <w:jc w:val="both"/>
              <w:rPr>
                <w:rFonts w:ascii="Tahoma" w:hAnsi="Tahoma" w:cs="Tahoma"/>
                <w:b/>
                <w:bCs/>
                <w:color w:val="000000"/>
                <w:sz w:val="20"/>
                <w:szCs w:val="22"/>
              </w:rPr>
            </w:pPr>
            <w:r w:rsidRPr="00735DCE">
              <w:rPr>
                <w:rFonts w:ascii="Tahoma" w:hAnsi="Tahoma" w:cs="Tahoma"/>
                <w:b/>
                <w:bCs/>
                <w:color w:val="000000"/>
                <w:sz w:val="20"/>
                <w:szCs w:val="22"/>
              </w:rPr>
              <w:t>Trading, Project &amp; Manufacturing</w:t>
            </w:r>
          </w:p>
        </w:tc>
        <w:tc>
          <w:tcPr>
            <w:tcW w:w="286" w:type="dxa"/>
            <w:tcBorders>
              <w:top w:val="nil"/>
              <w:left w:val="nil"/>
              <w:bottom w:val="nil"/>
              <w:right w:val="nil"/>
            </w:tcBorders>
            <w:shd w:val="clear" w:color="auto" w:fill="auto"/>
            <w:noWrap/>
            <w:vAlign w:val="bottom"/>
          </w:tcPr>
          <w:p w:rsidR="00F154E6" w:rsidRPr="00735DCE" w:rsidRDefault="00F154E6">
            <w:pPr>
              <w:jc w:val="both"/>
              <w:rPr>
                <w:rFonts w:ascii="Tahoma" w:hAnsi="Tahoma" w:cs="Tahoma"/>
                <w:b/>
                <w:bCs/>
                <w:color w:val="000000"/>
                <w:sz w:val="20"/>
                <w:szCs w:val="22"/>
              </w:rPr>
            </w:pPr>
          </w:p>
        </w:tc>
        <w:tc>
          <w:tcPr>
            <w:tcW w:w="1505" w:type="dxa"/>
            <w:tcBorders>
              <w:top w:val="nil"/>
              <w:left w:val="nil"/>
              <w:bottom w:val="single" w:sz="8" w:space="0" w:color="auto"/>
              <w:right w:val="nil"/>
            </w:tcBorders>
            <w:shd w:val="clear" w:color="auto" w:fill="auto"/>
            <w:vAlign w:val="bottom"/>
          </w:tcPr>
          <w:p w:rsidR="00F154E6" w:rsidRPr="00735DCE" w:rsidRDefault="00735DCE">
            <w:pPr>
              <w:jc w:val="both"/>
              <w:rPr>
                <w:rFonts w:ascii="Tahoma" w:hAnsi="Tahoma" w:cs="Tahoma"/>
                <w:b/>
                <w:bCs/>
                <w:color w:val="000000"/>
                <w:sz w:val="20"/>
                <w:szCs w:val="22"/>
              </w:rPr>
            </w:pPr>
            <w:r>
              <w:rPr>
                <w:rFonts w:ascii="Tahoma" w:hAnsi="Tahoma" w:cs="Tahoma"/>
                <w:b/>
                <w:bCs/>
                <w:color w:val="000000"/>
                <w:sz w:val="20"/>
                <w:szCs w:val="22"/>
              </w:rPr>
              <w:t xml:space="preserve">Operation &amp; </w:t>
            </w:r>
            <w:r w:rsidR="00F154E6" w:rsidRPr="00735DCE">
              <w:rPr>
                <w:rFonts w:ascii="Tahoma" w:hAnsi="Tahoma" w:cs="Tahoma"/>
                <w:b/>
                <w:bCs/>
                <w:color w:val="000000"/>
                <w:sz w:val="20"/>
                <w:szCs w:val="22"/>
              </w:rPr>
              <w:t>Maintenance</w:t>
            </w:r>
          </w:p>
        </w:tc>
        <w:tc>
          <w:tcPr>
            <w:tcW w:w="286" w:type="dxa"/>
            <w:tcBorders>
              <w:top w:val="nil"/>
              <w:left w:val="nil"/>
              <w:bottom w:val="nil"/>
              <w:right w:val="nil"/>
            </w:tcBorders>
            <w:shd w:val="clear" w:color="auto" w:fill="auto"/>
            <w:noWrap/>
            <w:vAlign w:val="bottom"/>
          </w:tcPr>
          <w:p w:rsidR="00F154E6" w:rsidRPr="00735DCE" w:rsidRDefault="00F154E6">
            <w:pPr>
              <w:jc w:val="both"/>
              <w:rPr>
                <w:rFonts w:ascii="Tahoma" w:hAnsi="Tahoma" w:cs="Tahoma"/>
                <w:b/>
                <w:bCs/>
                <w:color w:val="000000"/>
                <w:sz w:val="20"/>
                <w:szCs w:val="22"/>
              </w:rPr>
            </w:pPr>
          </w:p>
        </w:tc>
        <w:tc>
          <w:tcPr>
            <w:tcW w:w="1528" w:type="dxa"/>
            <w:tcBorders>
              <w:top w:val="nil"/>
              <w:left w:val="nil"/>
              <w:bottom w:val="single" w:sz="8" w:space="0" w:color="auto"/>
              <w:right w:val="nil"/>
            </w:tcBorders>
            <w:shd w:val="clear" w:color="auto" w:fill="auto"/>
            <w:noWrap/>
            <w:vAlign w:val="bottom"/>
          </w:tcPr>
          <w:p w:rsidR="00F154E6" w:rsidRPr="00735DCE" w:rsidRDefault="00F154E6">
            <w:pPr>
              <w:jc w:val="both"/>
              <w:rPr>
                <w:rFonts w:ascii="Tahoma" w:hAnsi="Tahoma" w:cs="Tahoma"/>
                <w:b/>
                <w:bCs/>
                <w:color w:val="000000"/>
                <w:sz w:val="20"/>
                <w:szCs w:val="22"/>
              </w:rPr>
            </w:pPr>
            <w:r w:rsidRPr="00735DCE">
              <w:rPr>
                <w:rFonts w:ascii="Tahoma" w:hAnsi="Tahoma" w:cs="Tahoma"/>
                <w:b/>
                <w:bCs/>
                <w:color w:val="000000"/>
                <w:sz w:val="20"/>
                <w:szCs w:val="22"/>
              </w:rPr>
              <w:t>Management</w:t>
            </w:r>
          </w:p>
        </w:tc>
        <w:tc>
          <w:tcPr>
            <w:tcW w:w="286" w:type="dxa"/>
            <w:tcBorders>
              <w:top w:val="nil"/>
              <w:left w:val="nil"/>
              <w:bottom w:val="nil"/>
              <w:right w:val="nil"/>
            </w:tcBorders>
            <w:shd w:val="clear" w:color="auto" w:fill="auto"/>
            <w:noWrap/>
            <w:vAlign w:val="bottom"/>
          </w:tcPr>
          <w:p w:rsidR="00F154E6" w:rsidRPr="00735DCE" w:rsidRDefault="00F154E6">
            <w:pPr>
              <w:jc w:val="both"/>
              <w:rPr>
                <w:rFonts w:ascii="Tahoma" w:hAnsi="Tahoma" w:cs="Tahoma"/>
                <w:b/>
                <w:bCs/>
                <w:color w:val="000000"/>
                <w:sz w:val="20"/>
                <w:szCs w:val="22"/>
              </w:rPr>
            </w:pPr>
          </w:p>
        </w:tc>
        <w:tc>
          <w:tcPr>
            <w:tcW w:w="1528" w:type="dxa"/>
            <w:tcBorders>
              <w:top w:val="nil"/>
              <w:left w:val="nil"/>
              <w:bottom w:val="single" w:sz="8" w:space="0" w:color="auto"/>
              <w:right w:val="nil"/>
            </w:tcBorders>
            <w:shd w:val="clear" w:color="auto" w:fill="auto"/>
            <w:vAlign w:val="bottom"/>
          </w:tcPr>
          <w:p w:rsidR="00F154E6" w:rsidRPr="00735DCE" w:rsidRDefault="00F154E6">
            <w:pPr>
              <w:jc w:val="both"/>
              <w:rPr>
                <w:rFonts w:ascii="Tahoma" w:hAnsi="Tahoma" w:cs="Tahoma"/>
                <w:b/>
                <w:bCs/>
                <w:color w:val="000000"/>
                <w:sz w:val="20"/>
                <w:szCs w:val="22"/>
              </w:rPr>
            </w:pPr>
            <w:r w:rsidRPr="00735DCE">
              <w:rPr>
                <w:rFonts w:ascii="Tahoma" w:hAnsi="Tahoma" w:cs="Tahoma"/>
                <w:b/>
                <w:bCs/>
                <w:color w:val="000000"/>
                <w:sz w:val="20"/>
                <w:szCs w:val="22"/>
              </w:rPr>
              <w:t>Solid Waste Management</w:t>
            </w:r>
          </w:p>
        </w:tc>
        <w:tc>
          <w:tcPr>
            <w:tcW w:w="1354" w:type="dxa"/>
            <w:tcBorders>
              <w:top w:val="nil"/>
              <w:left w:val="nil"/>
              <w:bottom w:val="nil"/>
              <w:right w:val="nil"/>
            </w:tcBorders>
            <w:shd w:val="clear" w:color="auto" w:fill="auto"/>
            <w:vAlign w:val="bottom"/>
          </w:tcPr>
          <w:p w:rsidR="00F154E6" w:rsidRPr="00735DCE" w:rsidRDefault="00F154E6">
            <w:pPr>
              <w:jc w:val="both"/>
              <w:rPr>
                <w:rFonts w:ascii="Tahoma" w:hAnsi="Tahoma" w:cs="Tahoma"/>
                <w:b/>
                <w:bCs/>
                <w:color w:val="000000"/>
                <w:sz w:val="20"/>
                <w:szCs w:val="22"/>
              </w:rPr>
            </w:pPr>
            <w:r w:rsidRPr="00735DCE">
              <w:rPr>
                <w:rFonts w:ascii="Tahoma" w:hAnsi="Tahoma" w:cs="Tahoma"/>
                <w:b/>
                <w:bCs/>
                <w:color w:val="000000"/>
                <w:sz w:val="20"/>
                <w:szCs w:val="22"/>
              </w:rPr>
              <w:t>Elimination</w:t>
            </w:r>
          </w:p>
        </w:tc>
        <w:tc>
          <w:tcPr>
            <w:tcW w:w="1522" w:type="dxa"/>
            <w:tcBorders>
              <w:top w:val="nil"/>
              <w:left w:val="nil"/>
              <w:bottom w:val="single" w:sz="8" w:space="0" w:color="auto"/>
              <w:right w:val="nil"/>
            </w:tcBorders>
            <w:shd w:val="clear" w:color="auto" w:fill="auto"/>
            <w:noWrap/>
            <w:vAlign w:val="bottom"/>
          </w:tcPr>
          <w:p w:rsidR="00F154E6" w:rsidRPr="00735DCE" w:rsidRDefault="00F154E6">
            <w:pPr>
              <w:jc w:val="both"/>
              <w:rPr>
                <w:rFonts w:ascii="Tahoma" w:hAnsi="Tahoma" w:cs="Tahoma"/>
                <w:b/>
                <w:bCs/>
                <w:color w:val="000000"/>
                <w:sz w:val="20"/>
                <w:szCs w:val="22"/>
              </w:rPr>
            </w:pPr>
            <w:r w:rsidRPr="00735DCE">
              <w:rPr>
                <w:rFonts w:ascii="Tahoma" w:hAnsi="Tahoma" w:cs="Tahoma"/>
                <w:b/>
                <w:bCs/>
                <w:color w:val="000000"/>
                <w:sz w:val="20"/>
                <w:szCs w:val="22"/>
              </w:rPr>
              <w:t>Consolidated</w:t>
            </w:r>
          </w:p>
        </w:tc>
      </w:tr>
      <w:tr w:rsidR="00735DCE" w:rsidTr="00735DCE">
        <w:trPr>
          <w:trHeight w:val="268"/>
        </w:trPr>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b/>
                <w:bCs/>
                <w:color w:val="000000"/>
                <w:sz w:val="22"/>
                <w:szCs w:val="22"/>
              </w:rPr>
            </w:pPr>
          </w:p>
        </w:tc>
        <w:tc>
          <w:tcPr>
            <w:tcW w:w="1685"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b/>
                <w:bCs/>
                <w:color w:val="000000"/>
                <w:sz w:val="22"/>
                <w:szCs w:val="22"/>
              </w:rPr>
            </w:pPr>
            <w:r w:rsidRPr="00F154E6">
              <w:rPr>
                <w:rFonts w:ascii="Tahoma" w:hAnsi="Tahoma" w:cs="Tahoma"/>
                <w:b/>
                <w:bCs/>
                <w:color w:val="000000"/>
                <w:sz w:val="22"/>
                <w:szCs w:val="22"/>
              </w:rPr>
              <w:t>RM'000</w:t>
            </w: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b/>
                <w:bCs/>
                <w:color w:val="000000"/>
                <w:sz w:val="22"/>
                <w:szCs w:val="22"/>
              </w:rPr>
            </w:pPr>
          </w:p>
        </w:tc>
        <w:tc>
          <w:tcPr>
            <w:tcW w:w="1505"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b/>
                <w:bCs/>
                <w:color w:val="000000"/>
                <w:sz w:val="22"/>
                <w:szCs w:val="22"/>
              </w:rPr>
            </w:pPr>
            <w:r w:rsidRPr="00F154E6">
              <w:rPr>
                <w:rFonts w:ascii="Tahoma" w:hAnsi="Tahoma" w:cs="Tahoma"/>
                <w:b/>
                <w:bCs/>
                <w:color w:val="000000"/>
                <w:sz w:val="22"/>
                <w:szCs w:val="22"/>
              </w:rPr>
              <w:t>RM'000</w:t>
            </w: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b/>
                <w:bCs/>
                <w:color w:val="000000"/>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b/>
                <w:bCs/>
                <w:color w:val="000000"/>
                <w:sz w:val="22"/>
                <w:szCs w:val="22"/>
              </w:rPr>
            </w:pPr>
            <w:r w:rsidRPr="00F154E6">
              <w:rPr>
                <w:rFonts w:ascii="Tahoma" w:hAnsi="Tahoma" w:cs="Tahoma"/>
                <w:b/>
                <w:bCs/>
                <w:color w:val="000000"/>
                <w:sz w:val="22"/>
                <w:szCs w:val="22"/>
              </w:rPr>
              <w:t>RM'000</w:t>
            </w: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b/>
                <w:bCs/>
                <w:color w:val="000000"/>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b/>
                <w:bCs/>
                <w:color w:val="000000"/>
                <w:sz w:val="22"/>
                <w:szCs w:val="22"/>
              </w:rPr>
            </w:pPr>
            <w:r w:rsidRPr="00F154E6">
              <w:rPr>
                <w:rFonts w:ascii="Tahoma" w:hAnsi="Tahoma" w:cs="Tahoma"/>
                <w:b/>
                <w:bCs/>
                <w:color w:val="000000"/>
                <w:sz w:val="22"/>
                <w:szCs w:val="22"/>
              </w:rPr>
              <w:t>RM'000</w:t>
            </w:r>
          </w:p>
        </w:tc>
        <w:tc>
          <w:tcPr>
            <w:tcW w:w="1354"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b/>
                <w:bCs/>
                <w:color w:val="000000"/>
                <w:sz w:val="22"/>
                <w:szCs w:val="22"/>
              </w:rPr>
            </w:pPr>
          </w:p>
        </w:tc>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b/>
                <w:bCs/>
                <w:color w:val="000000"/>
                <w:sz w:val="22"/>
                <w:szCs w:val="22"/>
              </w:rPr>
            </w:pPr>
            <w:r w:rsidRPr="00F154E6">
              <w:rPr>
                <w:rFonts w:ascii="Tahoma" w:hAnsi="Tahoma" w:cs="Tahoma"/>
                <w:b/>
                <w:bCs/>
                <w:color w:val="000000"/>
                <w:sz w:val="22"/>
                <w:szCs w:val="22"/>
              </w:rPr>
              <w:t>RM'000</w:t>
            </w:r>
          </w:p>
        </w:tc>
      </w:tr>
      <w:tr w:rsidR="00735DCE" w:rsidTr="00735DCE">
        <w:trPr>
          <w:trHeight w:val="268"/>
        </w:trPr>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r w:rsidRPr="00F154E6">
              <w:rPr>
                <w:rFonts w:ascii="Tahoma" w:hAnsi="Tahoma" w:cs="Tahoma"/>
                <w:color w:val="000000"/>
                <w:sz w:val="22"/>
                <w:szCs w:val="22"/>
              </w:rPr>
              <w:t>Revenue</w:t>
            </w:r>
          </w:p>
        </w:tc>
        <w:tc>
          <w:tcPr>
            <w:tcW w:w="1685"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1505"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1354"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r>
      <w:tr w:rsidR="00735DCE" w:rsidTr="00735DCE">
        <w:trPr>
          <w:trHeight w:val="475"/>
        </w:trPr>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r w:rsidRPr="00F154E6">
              <w:rPr>
                <w:rFonts w:ascii="Tahoma" w:hAnsi="Tahoma" w:cs="Tahoma"/>
                <w:color w:val="000000"/>
                <w:sz w:val="22"/>
                <w:szCs w:val="22"/>
              </w:rPr>
              <w:t>-External Sales</w:t>
            </w:r>
          </w:p>
        </w:tc>
        <w:tc>
          <w:tcPr>
            <w:tcW w:w="1685" w:type="dxa"/>
            <w:tcBorders>
              <w:top w:val="nil"/>
              <w:left w:val="nil"/>
              <w:bottom w:val="nil"/>
              <w:right w:val="nil"/>
            </w:tcBorders>
            <w:shd w:val="clear" w:color="auto" w:fill="auto"/>
            <w:noWrap/>
            <w:vAlign w:val="bottom"/>
          </w:tcPr>
          <w:p w:rsidR="00F154E6" w:rsidRPr="00F154E6" w:rsidRDefault="003F088B" w:rsidP="009258DB">
            <w:pPr>
              <w:jc w:val="right"/>
              <w:rPr>
                <w:rFonts w:ascii="Tahoma" w:hAnsi="Tahoma" w:cs="Tahoma"/>
                <w:color w:val="000000"/>
                <w:sz w:val="22"/>
                <w:szCs w:val="22"/>
              </w:rPr>
            </w:pPr>
            <w:r>
              <w:rPr>
                <w:rFonts w:ascii="Tahoma" w:hAnsi="Tahoma" w:cs="Tahoma"/>
                <w:color w:val="000000"/>
                <w:sz w:val="22"/>
                <w:szCs w:val="22"/>
              </w:rPr>
              <w:t>2,554</w:t>
            </w:r>
          </w:p>
        </w:tc>
        <w:tc>
          <w:tcPr>
            <w:tcW w:w="286"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color w:val="000000"/>
                <w:sz w:val="22"/>
                <w:szCs w:val="22"/>
              </w:rPr>
            </w:pPr>
          </w:p>
        </w:tc>
        <w:tc>
          <w:tcPr>
            <w:tcW w:w="1505" w:type="dxa"/>
            <w:tcBorders>
              <w:top w:val="nil"/>
              <w:left w:val="nil"/>
              <w:bottom w:val="nil"/>
              <w:right w:val="nil"/>
            </w:tcBorders>
            <w:shd w:val="clear" w:color="auto" w:fill="auto"/>
            <w:noWrap/>
            <w:vAlign w:val="bottom"/>
          </w:tcPr>
          <w:p w:rsidR="00F154E6" w:rsidRPr="00F154E6" w:rsidRDefault="003F088B">
            <w:pPr>
              <w:jc w:val="right"/>
              <w:rPr>
                <w:rFonts w:ascii="Tahoma" w:hAnsi="Tahoma" w:cs="Tahoma"/>
                <w:color w:val="000000"/>
                <w:sz w:val="22"/>
                <w:szCs w:val="22"/>
              </w:rPr>
            </w:pPr>
            <w:r>
              <w:rPr>
                <w:rFonts w:ascii="Tahoma" w:hAnsi="Tahoma" w:cs="Tahoma"/>
                <w:color w:val="000000"/>
                <w:sz w:val="22"/>
                <w:szCs w:val="22"/>
              </w:rPr>
              <w:t>559</w:t>
            </w:r>
          </w:p>
        </w:tc>
        <w:tc>
          <w:tcPr>
            <w:tcW w:w="286"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color w:val="000000"/>
                <w:sz w:val="22"/>
                <w:szCs w:val="22"/>
              </w:rPr>
            </w:pPr>
          </w:p>
        </w:tc>
        <w:tc>
          <w:tcPr>
            <w:tcW w:w="1528" w:type="dxa"/>
            <w:tcBorders>
              <w:top w:val="nil"/>
              <w:left w:val="nil"/>
              <w:bottom w:val="nil"/>
              <w:right w:val="nil"/>
            </w:tcBorders>
            <w:shd w:val="clear" w:color="auto" w:fill="auto"/>
            <w:noWrap/>
            <w:vAlign w:val="bottom"/>
          </w:tcPr>
          <w:p w:rsidR="00F154E6" w:rsidRPr="00F154E6" w:rsidRDefault="003F088B">
            <w:pPr>
              <w:jc w:val="right"/>
              <w:rPr>
                <w:rFonts w:ascii="Tahoma" w:hAnsi="Tahoma" w:cs="Tahoma"/>
                <w:color w:val="000000"/>
                <w:sz w:val="22"/>
                <w:szCs w:val="22"/>
              </w:rPr>
            </w:pPr>
            <w:r w:rsidRPr="00F154E6">
              <w:rPr>
                <w:rFonts w:ascii="Tahoma" w:hAnsi="Tahoma" w:cs="Tahoma"/>
                <w:color w:val="000000"/>
                <w:sz w:val="22"/>
                <w:szCs w:val="22"/>
              </w:rPr>
              <w:t>Nil</w:t>
            </w:r>
          </w:p>
        </w:tc>
        <w:tc>
          <w:tcPr>
            <w:tcW w:w="286"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color w:val="000000"/>
                <w:sz w:val="22"/>
                <w:szCs w:val="22"/>
              </w:rPr>
            </w:pPr>
          </w:p>
        </w:tc>
        <w:tc>
          <w:tcPr>
            <w:tcW w:w="1528" w:type="dxa"/>
            <w:tcBorders>
              <w:top w:val="nil"/>
              <w:left w:val="nil"/>
              <w:bottom w:val="nil"/>
              <w:right w:val="nil"/>
            </w:tcBorders>
            <w:shd w:val="clear" w:color="auto" w:fill="auto"/>
            <w:noWrap/>
            <w:vAlign w:val="bottom"/>
          </w:tcPr>
          <w:p w:rsidR="00F154E6" w:rsidRPr="00F154E6" w:rsidRDefault="003F088B" w:rsidP="009258DB">
            <w:pPr>
              <w:jc w:val="right"/>
              <w:rPr>
                <w:rFonts w:ascii="Tahoma" w:hAnsi="Tahoma" w:cs="Tahoma"/>
                <w:color w:val="000000"/>
                <w:sz w:val="22"/>
                <w:szCs w:val="22"/>
              </w:rPr>
            </w:pPr>
            <w:r>
              <w:rPr>
                <w:rFonts w:ascii="Tahoma" w:hAnsi="Tahoma" w:cs="Tahoma"/>
                <w:color w:val="000000"/>
                <w:sz w:val="22"/>
                <w:szCs w:val="22"/>
              </w:rPr>
              <w:t>1,203</w:t>
            </w:r>
          </w:p>
        </w:tc>
        <w:tc>
          <w:tcPr>
            <w:tcW w:w="1354" w:type="dxa"/>
            <w:tcBorders>
              <w:top w:val="nil"/>
              <w:left w:val="nil"/>
              <w:bottom w:val="nil"/>
              <w:right w:val="nil"/>
            </w:tcBorders>
            <w:shd w:val="clear" w:color="auto" w:fill="auto"/>
            <w:noWrap/>
            <w:vAlign w:val="bottom"/>
          </w:tcPr>
          <w:p w:rsidR="00F154E6" w:rsidRPr="00F154E6" w:rsidRDefault="003F088B">
            <w:pPr>
              <w:jc w:val="right"/>
              <w:rPr>
                <w:rFonts w:ascii="Tahoma" w:hAnsi="Tahoma" w:cs="Tahoma"/>
                <w:color w:val="000000"/>
                <w:sz w:val="22"/>
                <w:szCs w:val="22"/>
              </w:rPr>
            </w:pPr>
            <w:r w:rsidRPr="00F154E6">
              <w:rPr>
                <w:rFonts w:ascii="Tahoma" w:hAnsi="Tahoma" w:cs="Tahoma"/>
                <w:color w:val="000000"/>
                <w:sz w:val="22"/>
                <w:szCs w:val="22"/>
              </w:rPr>
              <w:t>Nil</w:t>
            </w:r>
          </w:p>
        </w:tc>
        <w:tc>
          <w:tcPr>
            <w:tcW w:w="1522" w:type="dxa"/>
            <w:tcBorders>
              <w:top w:val="nil"/>
              <w:left w:val="nil"/>
              <w:bottom w:val="nil"/>
              <w:right w:val="nil"/>
            </w:tcBorders>
            <w:shd w:val="clear" w:color="auto" w:fill="auto"/>
            <w:noWrap/>
            <w:vAlign w:val="bottom"/>
          </w:tcPr>
          <w:p w:rsidR="00F154E6" w:rsidRPr="00F154E6" w:rsidRDefault="003F088B">
            <w:pPr>
              <w:jc w:val="right"/>
              <w:rPr>
                <w:rFonts w:ascii="Tahoma" w:hAnsi="Tahoma" w:cs="Tahoma"/>
                <w:color w:val="000000"/>
                <w:sz w:val="22"/>
                <w:szCs w:val="22"/>
              </w:rPr>
            </w:pPr>
            <w:r>
              <w:rPr>
                <w:rFonts w:ascii="Tahoma" w:hAnsi="Tahoma" w:cs="Tahoma"/>
                <w:color w:val="000000"/>
                <w:sz w:val="22"/>
                <w:szCs w:val="22"/>
              </w:rPr>
              <w:t>4,317</w:t>
            </w:r>
          </w:p>
        </w:tc>
      </w:tr>
      <w:tr w:rsidR="00735DCE" w:rsidTr="00735DCE">
        <w:trPr>
          <w:trHeight w:val="719"/>
        </w:trPr>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r w:rsidRPr="00F154E6">
              <w:rPr>
                <w:rFonts w:ascii="Tahoma" w:hAnsi="Tahoma" w:cs="Tahoma"/>
                <w:color w:val="000000"/>
                <w:sz w:val="22"/>
                <w:szCs w:val="22"/>
              </w:rPr>
              <w:t>Intersegment sales</w:t>
            </w:r>
          </w:p>
        </w:tc>
        <w:tc>
          <w:tcPr>
            <w:tcW w:w="1685" w:type="dxa"/>
            <w:tcBorders>
              <w:top w:val="nil"/>
              <w:left w:val="nil"/>
              <w:bottom w:val="single" w:sz="8" w:space="0" w:color="auto"/>
              <w:right w:val="nil"/>
            </w:tcBorders>
            <w:shd w:val="clear" w:color="auto" w:fill="auto"/>
            <w:noWrap/>
            <w:vAlign w:val="bottom"/>
          </w:tcPr>
          <w:p w:rsidR="00F154E6" w:rsidRPr="00F154E6" w:rsidRDefault="00F154E6">
            <w:pPr>
              <w:jc w:val="right"/>
              <w:rPr>
                <w:rFonts w:ascii="Tahoma" w:hAnsi="Tahoma" w:cs="Tahoma"/>
                <w:color w:val="000000"/>
                <w:sz w:val="22"/>
                <w:szCs w:val="22"/>
              </w:rPr>
            </w:pPr>
            <w:r w:rsidRPr="00F154E6">
              <w:rPr>
                <w:rFonts w:ascii="Tahoma" w:hAnsi="Tahoma" w:cs="Tahoma"/>
                <w:color w:val="000000"/>
                <w:sz w:val="22"/>
                <w:szCs w:val="22"/>
              </w:rPr>
              <w:t>Nil</w:t>
            </w:r>
          </w:p>
        </w:tc>
        <w:tc>
          <w:tcPr>
            <w:tcW w:w="286" w:type="dxa"/>
            <w:tcBorders>
              <w:top w:val="nil"/>
              <w:left w:val="nil"/>
              <w:bottom w:val="single" w:sz="8" w:space="0" w:color="auto"/>
              <w:right w:val="nil"/>
            </w:tcBorders>
            <w:shd w:val="clear" w:color="auto" w:fill="auto"/>
            <w:noWrap/>
            <w:vAlign w:val="bottom"/>
          </w:tcPr>
          <w:p w:rsidR="00F154E6" w:rsidRPr="00F154E6" w:rsidRDefault="00F154E6">
            <w:pPr>
              <w:jc w:val="right"/>
              <w:rPr>
                <w:rFonts w:ascii="Tahoma" w:hAnsi="Tahoma" w:cs="Tahoma"/>
                <w:color w:val="000000"/>
                <w:sz w:val="22"/>
                <w:szCs w:val="22"/>
              </w:rPr>
            </w:pPr>
            <w:r w:rsidRPr="00F154E6">
              <w:rPr>
                <w:rFonts w:ascii="Tahoma" w:hAnsi="Tahoma" w:cs="Tahoma"/>
                <w:color w:val="000000"/>
                <w:sz w:val="22"/>
                <w:szCs w:val="22"/>
              </w:rPr>
              <w:t> </w:t>
            </w:r>
          </w:p>
        </w:tc>
        <w:tc>
          <w:tcPr>
            <w:tcW w:w="1505" w:type="dxa"/>
            <w:tcBorders>
              <w:top w:val="nil"/>
              <w:left w:val="nil"/>
              <w:bottom w:val="single" w:sz="8" w:space="0" w:color="auto"/>
              <w:right w:val="nil"/>
            </w:tcBorders>
            <w:shd w:val="clear" w:color="auto" w:fill="auto"/>
            <w:noWrap/>
            <w:vAlign w:val="bottom"/>
          </w:tcPr>
          <w:p w:rsidR="00F154E6" w:rsidRPr="00F154E6" w:rsidRDefault="00F154E6">
            <w:pPr>
              <w:jc w:val="right"/>
              <w:rPr>
                <w:rFonts w:ascii="Tahoma" w:hAnsi="Tahoma" w:cs="Tahoma"/>
                <w:color w:val="000000"/>
                <w:sz w:val="22"/>
                <w:szCs w:val="22"/>
              </w:rPr>
            </w:pPr>
            <w:r w:rsidRPr="00F154E6">
              <w:rPr>
                <w:rFonts w:ascii="Tahoma" w:hAnsi="Tahoma" w:cs="Tahoma"/>
                <w:color w:val="000000"/>
                <w:sz w:val="22"/>
                <w:szCs w:val="22"/>
              </w:rPr>
              <w:t>Nil</w:t>
            </w:r>
          </w:p>
        </w:tc>
        <w:tc>
          <w:tcPr>
            <w:tcW w:w="286" w:type="dxa"/>
            <w:tcBorders>
              <w:top w:val="nil"/>
              <w:left w:val="nil"/>
              <w:bottom w:val="single" w:sz="8" w:space="0" w:color="auto"/>
              <w:right w:val="nil"/>
            </w:tcBorders>
            <w:shd w:val="clear" w:color="auto" w:fill="auto"/>
            <w:noWrap/>
            <w:vAlign w:val="bottom"/>
          </w:tcPr>
          <w:p w:rsidR="00F154E6" w:rsidRPr="00F154E6" w:rsidRDefault="00F154E6">
            <w:pPr>
              <w:jc w:val="right"/>
              <w:rPr>
                <w:rFonts w:ascii="Tahoma" w:hAnsi="Tahoma" w:cs="Tahoma"/>
                <w:color w:val="000000"/>
                <w:sz w:val="22"/>
                <w:szCs w:val="22"/>
              </w:rPr>
            </w:pPr>
            <w:r w:rsidRPr="00F154E6">
              <w:rPr>
                <w:rFonts w:ascii="Tahoma" w:hAnsi="Tahoma" w:cs="Tahoma"/>
                <w:color w:val="000000"/>
                <w:sz w:val="22"/>
                <w:szCs w:val="22"/>
              </w:rPr>
              <w:t> </w:t>
            </w:r>
          </w:p>
        </w:tc>
        <w:tc>
          <w:tcPr>
            <w:tcW w:w="1528" w:type="dxa"/>
            <w:tcBorders>
              <w:top w:val="nil"/>
              <w:left w:val="nil"/>
              <w:bottom w:val="single" w:sz="8" w:space="0" w:color="auto"/>
              <w:right w:val="nil"/>
            </w:tcBorders>
            <w:shd w:val="clear" w:color="auto" w:fill="auto"/>
            <w:noWrap/>
            <w:vAlign w:val="bottom"/>
          </w:tcPr>
          <w:p w:rsidR="00F154E6" w:rsidRPr="00F154E6" w:rsidRDefault="00F154E6">
            <w:pPr>
              <w:jc w:val="right"/>
              <w:rPr>
                <w:rFonts w:ascii="Tahoma" w:hAnsi="Tahoma" w:cs="Tahoma"/>
                <w:color w:val="000000"/>
                <w:sz w:val="22"/>
                <w:szCs w:val="22"/>
              </w:rPr>
            </w:pPr>
            <w:r w:rsidRPr="00F154E6">
              <w:rPr>
                <w:rFonts w:ascii="Tahoma" w:hAnsi="Tahoma" w:cs="Tahoma"/>
                <w:color w:val="000000"/>
                <w:sz w:val="22"/>
                <w:szCs w:val="22"/>
              </w:rPr>
              <w:t>Nil</w:t>
            </w:r>
          </w:p>
        </w:tc>
        <w:tc>
          <w:tcPr>
            <w:tcW w:w="286" w:type="dxa"/>
            <w:tcBorders>
              <w:top w:val="nil"/>
              <w:left w:val="nil"/>
              <w:bottom w:val="single" w:sz="8" w:space="0" w:color="auto"/>
              <w:right w:val="nil"/>
            </w:tcBorders>
            <w:shd w:val="clear" w:color="auto" w:fill="auto"/>
            <w:noWrap/>
            <w:vAlign w:val="bottom"/>
          </w:tcPr>
          <w:p w:rsidR="00F154E6" w:rsidRPr="00F154E6" w:rsidRDefault="00F154E6">
            <w:pPr>
              <w:jc w:val="right"/>
              <w:rPr>
                <w:rFonts w:ascii="Tahoma" w:hAnsi="Tahoma" w:cs="Tahoma"/>
                <w:color w:val="000000"/>
                <w:sz w:val="22"/>
                <w:szCs w:val="22"/>
              </w:rPr>
            </w:pPr>
            <w:r w:rsidRPr="00F154E6">
              <w:rPr>
                <w:rFonts w:ascii="Tahoma" w:hAnsi="Tahoma" w:cs="Tahoma"/>
                <w:color w:val="000000"/>
                <w:sz w:val="22"/>
                <w:szCs w:val="22"/>
              </w:rPr>
              <w:t> </w:t>
            </w:r>
          </w:p>
        </w:tc>
        <w:tc>
          <w:tcPr>
            <w:tcW w:w="1528" w:type="dxa"/>
            <w:tcBorders>
              <w:top w:val="nil"/>
              <w:left w:val="nil"/>
              <w:bottom w:val="single" w:sz="8" w:space="0" w:color="auto"/>
              <w:right w:val="nil"/>
            </w:tcBorders>
            <w:shd w:val="clear" w:color="auto" w:fill="auto"/>
            <w:noWrap/>
            <w:vAlign w:val="bottom"/>
          </w:tcPr>
          <w:p w:rsidR="00F154E6" w:rsidRPr="00F154E6" w:rsidRDefault="00F154E6">
            <w:pPr>
              <w:jc w:val="right"/>
              <w:rPr>
                <w:rFonts w:ascii="Tahoma" w:hAnsi="Tahoma" w:cs="Tahoma"/>
                <w:color w:val="000000"/>
                <w:sz w:val="22"/>
                <w:szCs w:val="22"/>
              </w:rPr>
            </w:pPr>
            <w:r w:rsidRPr="00F154E6">
              <w:rPr>
                <w:rFonts w:ascii="Tahoma" w:hAnsi="Tahoma" w:cs="Tahoma"/>
                <w:color w:val="000000"/>
                <w:sz w:val="22"/>
                <w:szCs w:val="22"/>
              </w:rPr>
              <w:t>Nil</w:t>
            </w:r>
          </w:p>
        </w:tc>
        <w:tc>
          <w:tcPr>
            <w:tcW w:w="1354" w:type="dxa"/>
            <w:tcBorders>
              <w:top w:val="nil"/>
              <w:left w:val="nil"/>
              <w:bottom w:val="single" w:sz="8" w:space="0" w:color="auto"/>
              <w:right w:val="nil"/>
            </w:tcBorders>
            <w:shd w:val="clear" w:color="auto" w:fill="auto"/>
            <w:noWrap/>
            <w:vAlign w:val="bottom"/>
          </w:tcPr>
          <w:p w:rsidR="00F154E6" w:rsidRPr="00F154E6" w:rsidRDefault="00F154E6">
            <w:pPr>
              <w:jc w:val="right"/>
              <w:rPr>
                <w:rFonts w:ascii="Tahoma" w:hAnsi="Tahoma" w:cs="Tahoma"/>
                <w:color w:val="000000"/>
                <w:sz w:val="22"/>
                <w:szCs w:val="22"/>
              </w:rPr>
            </w:pPr>
            <w:r w:rsidRPr="00F154E6">
              <w:rPr>
                <w:rFonts w:ascii="Tahoma" w:hAnsi="Tahoma" w:cs="Tahoma"/>
                <w:color w:val="000000"/>
                <w:sz w:val="22"/>
                <w:szCs w:val="22"/>
              </w:rPr>
              <w:t xml:space="preserve">      Nil</w:t>
            </w:r>
          </w:p>
        </w:tc>
        <w:tc>
          <w:tcPr>
            <w:tcW w:w="1522" w:type="dxa"/>
            <w:tcBorders>
              <w:top w:val="nil"/>
              <w:left w:val="nil"/>
              <w:bottom w:val="single" w:sz="8" w:space="0" w:color="auto"/>
              <w:right w:val="nil"/>
            </w:tcBorders>
            <w:shd w:val="clear" w:color="auto" w:fill="auto"/>
            <w:noWrap/>
            <w:vAlign w:val="bottom"/>
          </w:tcPr>
          <w:p w:rsidR="00F154E6" w:rsidRPr="00F154E6" w:rsidRDefault="00F154E6">
            <w:pPr>
              <w:jc w:val="right"/>
              <w:rPr>
                <w:rFonts w:ascii="Tahoma" w:hAnsi="Tahoma" w:cs="Tahoma"/>
                <w:color w:val="000000"/>
                <w:sz w:val="22"/>
                <w:szCs w:val="22"/>
              </w:rPr>
            </w:pPr>
            <w:r w:rsidRPr="00F154E6">
              <w:rPr>
                <w:rFonts w:ascii="Tahoma" w:hAnsi="Tahoma" w:cs="Tahoma"/>
                <w:color w:val="000000"/>
                <w:sz w:val="22"/>
                <w:szCs w:val="22"/>
              </w:rPr>
              <w:t>Nil</w:t>
            </w:r>
          </w:p>
        </w:tc>
      </w:tr>
      <w:tr w:rsidR="009258DB" w:rsidTr="00735DCE">
        <w:trPr>
          <w:trHeight w:val="280"/>
        </w:trPr>
        <w:tc>
          <w:tcPr>
            <w:tcW w:w="1522" w:type="dxa"/>
            <w:tcBorders>
              <w:top w:val="nil"/>
              <w:left w:val="nil"/>
              <w:bottom w:val="nil"/>
              <w:right w:val="nil"/>
            </w:tcBorders>
            <w:shd w:val="clear" w:color="auto" w:fill="auto"/>
            <w:noWrap/>
            <w:vAlign w:val="bottom"/>
          </w:tcPr>
          <w:p w:rsidR="009258DB" w:rsidRPr="00F154E6" w:rsidRDefault="009258DB">
            <w:pPr>
              <w:jc w:val="both"/>
              <w:rPr>
                <w:rFonts w:ascii="Tahoma" w:hAnsi="Tahoma" w:cs="Tahoma"/>
                <w:color w:val="000000"/>
                <w:sz w:val="22"/>
                <w:szCs w:val="22"/>
              </w:rPr>
            </w:pPr>
          </w:p>
        </w:tc>
        <w:tc>
          <w:tcPr>
            <w:tcW w:w="1685" w:type="dxa"/>
            <w:tcBorders>
              <w:top w:val="nil"/>
              <w:left w:val="nil"/>
              <w:bottom w:val="double" w:sz="6" w:space="0" w:color="auto"/>
              <w:right w:val="nil"/>
            </w:tcBorders>
            <w:shd w:val="clear" w:color="auto" w:fill="auto"/>
            <w:noWrap/>
            <w:vAlign w:val="bottom"/>
          </w:tcPr>
          <w:p w:rsidR="009258DB" w:rsidRPr="00F154E6" w:rsidRDefault="003F088B" w:rsidP="009258DB">
            <w:pPr>
              <w:jc w:val="right"/>
              <w:rPr>
                <w:rFonts w:ascii="Tahoma" w:hAnsi="Tahoma" w:cs="Tahoma"/>
                <w:color w:val="000000"/>
                <w:sz w:val="22"/>
                <w:szCs w:val="22"/>
              </w:rPr>
            </w:pPr>
            <w:r>
              <w:rPr>
                <w:rFonts w:ascii="Tahoma" w:hAnsi="Tahoma" w:cs="Tahoma"/>
                <w:color w:val="000000"/>
                <w:sz w:val="22"/>
                <w:szCs w:val="22"/>
              </w:rPr>
              <w:t>2,554</w:t>
            </w:r>
          </w:p>
        </w:tc>
        <w:tc>
          <w:tcPr>
            <w:tcW w:w="286" w:type="dxa"/>
            <w:tcBorders>
              <w:top w:val="nil"/>
              <w:left w:val="nil"/>
              <w:bottom w:val="double" w:sz="6" w:space="0" w:color="auto"/>
              <w:right w:val="nil"/>
            </w:tcBorders>
            <w:shd w:val="clear" w:color="auto" w:fill="auto"/>
            <w:noWrap/>
            <w:vAlign w:val="bottom"/>
          </w:tcPr>
          <w:p w:rsidR="009258DB" w:rsidRPr="00F154E6" w:rsidRDefault="009258DB">
            <w:pPr>
              <w:jc w:val="right"/>
              <w:rPr>
                <w:rFonts w:ascii="Tahoma" w:hAnsi="Tahoma" w:cs="Tahoma"/>
                <w:color w:val="000000"/>
                <w:sz w:val="22"/>
                <w:szCs w:val="22"/>
              </w:rPr>
            </w:pPr>
            <w:r w:rsidRPr="00F154E6">
              <w:rPr>
                <w:rFonts w:ascii="Tahoma" w:hAnsi="Tahoma" w:cs="Tahoma"/>
                <w:color w:val="000000"/>
                <w:sz w:val="22"/>
                <w:szCs w:val="22"/>
              </w:rPr>
              <w:t> </w:t>
            </w:r>
          </w:p>
        </w:tc>
        <w:tc>
          <w:tcPr>
            <w:tcW w:w="1505" w:type="dxa"/>
            <w:tcBorders>
              <w:top w:val="nil"/>
              <w:left w:val="nil"/>
              <w:bottom w:val="double" w:sz="6" w:space="0" w:color="auto"/>
              <w:right w:val="nil"/>
            </w:tcBorders>
            <w:shd w:val="clear" w:color="auto" w:fill="auto"/>
            <w:noWrap/>
            <w:vAlign w:val="bottom"/>
          </w:tcPr>
          <w:p w:rsidR="009258DB" w:rsidRPr="00F154E6" w:rsidRDefault="003F088B">
            <w:pPr>
              <w:jc w:val="right"/>
              <w:rPr>
                <w:rFonts w:ascii="Tahoma" w:hAnsi="Tahoma" w:cs="Tahoma"/>
                <w:color w:val="000000"/>
                <w:sz w:val="22"/>
                <w:szCs w:val="22"/>
              </w:rPr>
            </w:pPr>
            <w:r>
              <w:rPr>
                <w:rFonts w:ascii="Tahoma" w:hAnsi="Tahoma" w:cs="Tahoma"/>
                <w:color w:val="000000"/>
                <w:sz w:val="22"/>
                <w:szCs w:val="22"/>
              </w:rPr>
              <w:t>559</w:t>
            </w:r>
          </w:p>
        </w:tc>
        <w:tc>
          <w:tcPr>
            <w:tcW w:w="286" w:type="dxa"/>
            <w:tcBorders>
              <w:top w:val="nil"/>
              <w:left w:val="nil"/>
              <w:bottom w:val="double" w:sz="6" w:space="0" w:color="auto"/>
              <w:right w:val="nil"/>
            </w:tcBorders>
            <w:shd w:val="clear" w:color="auto" w:fill="auto"/>
            <w:noWrap/>
            <w:vAlign w:val="bottom"/>
          </w:tcPr>
          <w:p w:rsidR="009258DB" w:rsidRPr="00F154E6" w:rsidRDefault="009258DB">
            <w:pPr>
              <w:jc w:val="right"/>
              <w:rPr>
                <w:rFonts w:ascii="Tahoma" w:hAnsi="Tahoma" w:cs="Tahoma"/>
                <w:color w:val="000000"/>
                <w:sz w:val="22"/>
                <w:szCs w:val="22"/>
              </w:rPr>
            </w:pPr>
            <w:r w:rsidRPr="00F154E6">
              <w:rPr>
                <w:rFonts w:ascii="Tahoma" w:hAnsi="Tahoma" w:cs="Tahoma"/>
                <w:color w:val="000000"/>
                <w:sz w:val="22"/>
                <w:szCs w:val="22"/>
              </w:rPr>
              <w:t> </w:t>
            </w:r>
          </w:p>
        </w:tc>
        <w:tc>
          <w:tcPr>
            <w:tcW w:w="1528" w:type="dxa"/>
            <w:tcBorders>
              <w:top w:val="nil"/>
              <w:left w:val="nil"/>
              <w:bottom w:val="double" w:sz="6" w:space="0" w:color="auto"/>
              <w:right w:val="nil"/>
            </w:tcBorders>
            <w:shd w:val="clear" w:color="auto" w:fill="auto"/>
            <w:noWrap/>
            <w:vAlign w:val="bottom"/>
          </w:tcPr>
          <w:p w:rsidR="009258DB" w:rsidRPr="00F154E6" w:rsidRDefault="003F088B" w:rsidP="00B27ADC">
            <w:pPr>
              <w:jc w:val="right"/>
              <w:rPr>
                <w:rFonts w:ascii="Tahoma" w:hAnsi="Tahoma" w:cs="Tahoma"/>
                <w:color w:val="000000"/>
                <w:sz w:val="22"/>
                <w:szCs w:val="22"/>
              </w:rPr>
            </w:pPr>
            <w:r w:rsidRPr="00F154E6">
              <w:rPr>
                <w:rFonts w:ascii="Tahoma" w:hAnsi="Tahoma" w:cs="Tahoma"/>
                <w:color w:val="000000"/>
                <w:sz w:val="22"/>
                <w:szCs w:val="22"/>
              </w:rPr>
              <w:t>Nil</w:t>
            </w:r>
          </w:p>
        </w:tc>
        <w:tc>
          <w:tcPr>
            <w:tcW w:w="286" w:type="dxa"/>
            <w:tcBorders>
              <w:top w:val="nil"/>
              <w:left w:val="nil"/>
              <w:bottom w:val="double" w:sz="6" w:space="0" w:color="auto"/>
              <w:right w:val="nil"/>
            </w:tcBorders>
            <w:shd w:val="clear" w:color="auto" w:fill="auto"/>
            <w:noWrap/>
            <w:vAlign w:val="bottom"/>
          </w:tcPr>
          <w:p w:rsidR="009258DB" w:rsidRPr="00F154E6" w:rsidRDefault="009258DB">
            <w:pPr>
              <w:jc w:val="right"/>
              <w:rPr>
                <w:rFonts w:ascii="Tahoma" w:hAnsi="Tahoma" w:cs="Tahoma"/>
                <w:color w:val="000000"/>
                <w:sz w:val="22"/>
                <w:szCs w:val="22"/>
              </w:rPr>
            </w:pPr>
            <w:r w:rsidRPr="00F154E6">
              <w:rPr>
                <w:rFonts w:ascii="Tahoma" w:hAnsi="Tahoma" w:cs="Tahoma"/>
                <w:color w:val="000000"/>
                <w:sz w:val="22"/>
                <w:szCs w:val="22"/>
              </w:rPr>
              <w:t> </w:t>
            </w:r>
          </w:p>
        </w:tc>
        <w:tc>
          <w:tcPr>
            <w:tcW w:w="1528" w:type="dxa"/>
            <w:tcBorders>
              <w:top w:val="nil"/>
              <w:left w:val="nil"/>
              <w:bottom w:val="double" w:sz="6" w:space="0" w:color="auto"/>
              <w:right w:val="nil"/>
            </w:tcBorders>
            <w:shd w:val="clear" w:color="auto" w:fill="auto"/>
            <w:noWrap/>
            <w:vAlign w:val="bottom"/>
          </w:tcPr>
          <w:p w:rsidR="009258DB" w:rsidRPr="00F154E6" w:rsidRDefault="003F088B" w:rsidP="009258DB">
            <w:pPr>
              <w:jc w:val="right"/>
              <w:rPr>
                <w:rFonts w:ascii="Tahoma" w:hAnsi="Tahoma" w:cs="Tahoma"/>
                <w:color w:val="000000"/>
                <w:sz w:val="22"/>
                <w:szCs w:val="22"/>
              </w:rPr>
            </w:pPr>
            <w:r>
              <w:rPr>
                <w:rFonts w:ascii="Tahoma" w:hAnsi="Tahoma" w:cs="Tahoma"/>
                <w:color w:val="000000"/>
                <w:sz w:val="22"/>
                <w:szCs w:val="22"/>
              </w:rPr>
              <w:t>1,203</w:t>
            </w:r>
          </w:p>
        </w:tc>
        <w:tc>
          <w:tcPr>
            <w:tcW w:w="1354" w:type="dxa"/>
            <w:tcBorders>
              <w:top w:val="nil"/>
              <w:left w:val="nil"/>
              <w:bottom w:val="double" w:sz="6" w:space="0" w:color="auto"/>
              <w:right w:val="nil"/>
            </w:tcBorders>
            <w:shd w:val="clear" w:color="auto" w:fill="auto"/>
            <w:noWrap/>
            <w:vAlign w:val="bottom"/>
          </w:tcPr>
          <w:p w:rsidR="009258DB" w:rsidRPr="00F154E6" w:rsidRDefault="003F088B">
            <w:pPr>
              <w:jc w:val="right"/>
              <w:rPr>
                <w:rFonts w:ascii="Tahoma" w:hAnsi="Tahoma" w:cs="Tahoma"/>
                <w:color w:val="000000"/>
                <w:sz w:val="22"/>
                <w:szCs w:val="22"/>
              </w:rPr>
            </w:pPr>
            <w:r w:rsidRPr="00F154E6">
              <w:rPr>
                <w:rFonts w:ascii="Tahoma" w:hAnsi="Tahoma" w:cs="Tahoma"/>
                <w:color w:val="000000"/>
                <w:sz w:val="22"/>
                <w:szCs w:val="22"/>
              </w:rPr>
              <w:t>Nil</w:t>
            </w:r>
          </w:p>
        </w:tc>
        <w:tc>
          <w:tcPr>
            <w:tcW w:w="1522" w:type="dxa"/>
            <w:tcBorders>
              <w:top w:val="nil"/>
              <w:left w:val="nil"/>
              <w:bottom w:val="double" w:sz="6" w:space="0" w:color="auto"/>
              <w:right w:val="nil"/>
            </w:tcBorders>
            <w:shd w:val="clear" w:color="auto" w:fill="auto"/>
            <w:noWrap/>
            <w:vAlign w:val="bottom"/>
          </w:tcPr>
          <w:p w:rsidR="009258DB" w:rsidRPr="00F154E6" w:rsidRDefault="003F088B" w:rsidP="00B27ADC">
            <w:pPr>
              <w:jc w:val="right"/>
              <w:rPr>
                <w:rFonts w:ascii="Tahoma" w:hAnsi="Tahoma" w:cs="Tahoma"/>
                <w:color w:val="000000"/>
                <w:sz w:val="22"/>
                <w:szCs w:val="22"/>
              </w:rPr>
            </w:pPr>
            <w:r>
              <w:rPr>
                <w:rFonts w:ascii="Tahoma" w:hAnsi="Tahoma" w:cs="Tahoma"/>
                <w:color w:val="000000"/>
                <w:sz w:val="22"/>
                <w:szCs w:val="22"/>
              </w:rPr>
              <w:t>4,317</w:t>
            </w:r>
          </w:p>
        </w:tc>
      </w:tr>
      <w:tr w:rsidR="00735DCE" w:rsidTr="00735DCE">
        <w:trPr>
          <w:trHeight w:val="280"/>
        </w:trPr>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1685"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1505"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1354"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color w:val="000000"/>
                <w:sz w:val="22"/>
                <w:szCs w:val="22"/>
              </w:rPr>
            </w:pPr>
          </w:p>
        </w:tc>
      </w:tr>
      <w:tr w:rsidR="00735DCE" w:rsidTr="00735DCE">
        <w:trPr>
          <w:trHeight w:val="268"/>
        </w:trPr>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r w:rsidRPr="00F154E6">
              <w:rPr>
                <w:rFonts w:ascii="Tahoma" w:hAnsi="Tahoma" w:cs="Tahoma"/>
                <w:sz w:val="22"/>
                <w:szCs w:val="22"/>
              </w:rPr>
              <w:t>Results</w:t>
            </w:r>
          </w:p>
        </w:tc>
        <w:tc>
          <w:tcPr>
            <w:tcW w:w="1685"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05"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354"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r>
      <w:tr w:rsidR="00735DCE" w:rsidTr="00735DCE">
        <w:trPr>
          <w:trHeight w:val="488"/>
        </w:trPr>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r w:rsidRPr="00F154E6">
              <w:rPr>
                <w:rFonts w:ascii="Tahoma" w:hAnsi="Tahoma" w:cs="Tahoma"/>
                <w:sz w:val="22"/>
                <w:szCs w:val="22"/>
              </w:rPr>
              <w:t>-Segment results</w:t>
            </w:r>
          </w:p>
        </w:tc>
        <w:tc>
          <w:tcPr>
            <w:tcW w:w="1685" w:type="dxa"/>
            <w:tcBorders>
              <w:top w:val="nil"/>
              <w:left w:val="nil"/>
              <w:bottom w:val="single" w:sz="8" w:space="0" w:color="auto"/>
              <w:right w:val="nil"/>
            </w:tcBorders>
            <w:shd w:val="clear" w:color="auto" w:fill="auto"/>
            <w:noWrap/>
            <w:vAlign w:val="bottom"/>
          </w:tcPr>
          <w:p w:rsidR="00F154E6" w:rsidRPr="00F154E6" w:rsidRDefault="009258DB" w:rsidP="003F088B">
            <w:pPr>
              <w:jc w:val="right"/>
              <w:rPr>
                <w:rFonts w:ascii="Tahoma" w:hAnsi="Tahoma" w:cs="Tahoma"/>
                <w:sz w:val="22"/>
                <w:szCs w:val="22"/>
              </w:rPr>
            </w:pPr>
            <w:r>
              <w:rPr>
                <w:rFonts w:ascii="Tahoma" w:hAnsi="Tahoma" w:cs="Tahoma"/>
                <w:sz w:val="22"/>
                <w:szCs w:val="22"/>
              </w:rPr>
              <w:t>(</w:t>
            </w:r>
            <w:r w:rsidR="003F088B">
              <w:rPr>
                <w:rFonts w:ascii="Tahoma" w:hAnsi="Tahoma" w:cs="Tahoma"/>
                <w:sz w:val="22"/>
                <w:szCs w:val="22"/>
              </w:rPr>
              <w:t>13</w:t>
            </w:r>
            <w:r>
              <w:rPr>
                <w:rFonts w:ascii="Tahoma" w:hAnsi="Tahoma" w:cs="Tahoma"/>
                <w:sz w:val="22"/>
                <w:szCs w:val="22"/>
              </w:rPr>
              <w:t>)</w:t>
            </w:r>
          </w:p>
        </w:tc>
        <w:tc>
          <w:tcPr>
            <w:tcW w:w="286" w:type="dxa"/>
            <w:tcBorders>
              <w:top w:val="nil"/>
              <w:left w:val="nil"/>
              <w:bottom w:val="single" w:sz="8" w:space="0" w:color="auto"/>
              <w:right w:val="nil"/>
            </w:tcBorders>
            <w:shd w:val="clear" w:color="auto" w:fill="auto"/>
            <w:noWrap/>
            <w:vAlign w:val="bottom"/>
          </w:tcPr>
          <w:p w:rsidR="00F154E6" w:rsidRPr="00F154E6" w:rsidRDefault="00F154E6">
            <w:pPr>
              <w:jc w:val="right"/>
              <w:rPr>
                <w:rFonts w:ascii="Tahoma" w:hAnsi="Tahoma" w:cs="Tahoma"/>
                <w:sz w:val="22"/>
                <w:szCs w:val="22"/>
              </w:rPr>
            </w:pPr>
            <w:r w:rsidRPr="00F154E6">
              <w:rPr>
                <w:rFonts w:ascii="Tahoma" w:hAnsi="Tahoma" w:cs="Tahoma"/>
                <w:sz w:val="22"/>
                <w:szCs w:val="22"/>
              </w:rPr>
              <w:t> </w:t>
            </w:r>
          </w:p>
        </w:tc>
        <w:tc>
          <w:tcPr>
            <w:tcW w:w="1505" w:type="dxa"/>
            <w:tcBorders>
              <w:top w:val="nil"/>
              <w:left w:val="nil"/>
              <w:bottom w:val="single" w:sz="8" w:space="0" w:color="auto"/>
              <w:right w:val="nil"/>
            </w:tcBorders>
            <w:shd w:val="clear" w:color="auto" w:fill="auto"/>
            <w:noWrap/>
            <w:vAlign w:val="bottom"/>
          </w:tcPr>
          <w:p w:rsidR="00F154E6" w:rsidRPr="00F154E6" w:rsidRDefault="003F088B" w:rsidP="0054152C">
            <w:pPr>
              <w:jc w:val="right"/>
              <w:rPr>
                <w:rFonts w:ascii="Tahoma" w:hAnsi="Tahoma" w:cs="Tahoma"/>
                <w:sz w:val="22"/>
                <w:szCs w:val="22"/>
              </w:rPr>
            </w:pPr>
            <w:r>
              <w:rPr>
                <w:rFonts w:ascii="Tahoma" w:hAnsi="Tahoma" w:cs="Tahoma"/>
                <w:sz w:val="22"/>
                <w:szCs w:val="22"/>
              </w:rPr>
              <w:t>76</w:t>
            </w:r>
          </w:p>
        </w:tc>
        <w:tc>
          <w:tcPr>
            <w:tcW w:w="286" w:type="dxa"/>
            <w:tcBorders>
              <w:top w:val="nil"/>
              <w:left w:val="nil"/>
              <w:bottom w:val="single" w:sz="8" w:space="0" w:color="auto"/>
              <w:right w:val="nil"/>
            </w:tcBorders>
            <w:shd w:val="clear" w:color="auto" w:fill="auto"/>
            <w:noWrap/>
            <w:vAlign w:val="bottom"/>
          </w:tcPr>
          <w:p w:rsidR="00F154E6" w:rsidRPr="00F154E6" w:rsidRDefault="00F154E6">
            <w:pPr>
              <w:jc w:val="right"/>
              <w:rPr>
                <w:rFonts w:ascii="Tahoma" w:hAnsi="Tahoma" w:cs="Tahoma"/>
                <w:sz w:val="22"/>
                <w:szCs w:val="22"/>
              </w:rPr>
            </w:pPr>
            <w:r w:rsidRPr="00F154E6">
              <w:rPr>
                <w:rFonts w:ascii="Tahoma" w:hAnsi="Tahoma" w:cs="Tahoma"/>
                <w:sz w:val="22"/>
                <w:szCs w:val="22"/>
              </w:rPr>
              <w:t> </w:t>
            </w:r>
          </w:p>
        </w:tc>
        <w:tc>
          <w:tcPr>
            <w:tcW w:w="1528" w:type="dxa"/>
            <w:tcBorders>
              <w:top w:val="nil"/>
              <w:left w:val="nil"/>
              <w:bottom w:val="single" w:sz="8" w:space="0" w:color="auto"/>
              <w:right w:val="nil"/>
            </w:tcBorders>
            <w:shd w:val="clear" w:color="auto" w:fill="auto"/>
            <w:noWrap/>
            <w:vAlign w:val="bottom"/>
          </w:tcPr>
          <w:p w:rsidR="00F154E6" w:rsidRPr="00F154E6" w:rsidRDefault="003F088B">
            <w:pPr>
              <w:jc w:val="right"/>
              <w:rPr>
                <w:rFonts w:ascii="Tahoma" w:hAnsi="Tahoma" w:cs="Tahoma"/>
                <w:sz w:val="22"/>
                <w:szCs w:val="22"/>
              </w:rPr>
            </w:pPr>
            <w:r>
              <w:rPr>
                <w:rFonts w:ascii="Tahoma" w:hAnsi="Tahoma" w:cs="Tahoma"/>
                <w:color w:val="000000"/>
                <w:sz w:val="22"/>
                <w:szCs w:val="22"/>
              </w:rPr>
              <w:t>(369)</w:t>
            </w:r>
          </w:p>
        </w:tc>
        <w:tc>
          <w:tcPr>
            <w:tcW w:w="286" w:type="dxa"/>
            <w:tcBorders>
              <w:top w:val="nil"/>
              <w:left w:val="nil"/>
              <w:bottom w:val="single" w:sz="8" w:space="0" w:color="auto"/>
              <w:right w:val="nil"/>
            </w:tcBorders>
            <w:shd w:val="clear" w:color="auto" w:fill="auto"/>
            <w:noWrap/>
            <w:vAlign w:val="bottom"/>
          </w:tcPr>
          <w:p w:rsidR="00F154E6" w:rsidRPr="00F154E6" w:rsidRDefault="00F154E6">
            <w:pPr>
              <w:jc w:val="right"/>
              <w:rPr>
                <w:rFonts w:ascii="Tahoma" w:hAnsi="Tahoma" w:cs="Tahoma"/>
                <w:sz w:val="22"/>
                <w:szCs w:val="22"/>
              </w:rPr>
            </w:pPr>
            <w:r w:rsidRPr="00F154E6">
              <w:rPr>
                <w:rFonts w:ascii="Tahoma" w:hAnsi="Tahoma" w:cs="Tahoma"/>
                <w:sz w:val="22"/>
                <w:szCs w:val="22"/>
              </w:rPr>
              <w:t> </w:t>
            </w:r>
          </w:p>
        </w:tc>
        <w:tc>
          <w:tcPr>
            <w:tcW w:w="1528" w:type="dxa"/>
            <w:tcBorders>
              <w:top w:val="nil"/>
              <w:left w:val="nil"/>
              <w:bottom w:val="single" w:sz="8" w:space="0" w:color="auto"/>
              <w:right w:val="nil"/>
            </w:tcBorders>
            <w:shd w:val="clear" w:color="auto" w:fill="auto"/>
            <w:noWrap/>
            <w:vAlign w:val="bottom"/>
          </w:tcPr>
          <w:p w:rsidR="00F154E6" w:rsidRPr="00F154E6" w:rsidRDefault="003F088B" w:rsidP="008E111F">
            <w:pPr>
              <w:jc w:val="right"/>
              <w:rPr>
                <w:rFonts w:ascii="Tahoma" w:hAnsi="Tahoma" w:cs="Tahoma"/>
                <w:sz w:val="22"/>
                <w:szCs w:val="22"/>
              </w:rPr>
            </w:pPr>
            <w:r>
              <w:rPr>
                <w:rFonts w:ascii="Tahoma" w:hAnsi="Tahoma" w:cs="Tahoma"/>
                <w:sz w:val="22"/>
                <w:szCs w:val="22"/>
              </w:rPr>
              <w:t>203</w:t>
            </w:r>
          </w:p>
        </w:tc>
        <w:tc>
          <w:tcPr>
            <w:tcW w:w="1354" w:type="dxa"/>
            <w:tcBorders>
              <w:top w:val="nil"/>
              <w:left w:val="nil"/>
              <w:bottom w:val="nil"/>
              <w:right w:val="nil"/>
            </w:tcBorders>
            <w:shd w:val="clear" w:color="auto" w:fill="auto"/>
            <w:noWrap/>
            <w:vAlign w:val="bottom"/>
          </w:tcPr>
          <w:p w:rsidR="00F154E6" w:rsidRPr="00F154E6" w:rsidRDefault="003F088B" w:rsidP="008E111F">
            <w:pPr>
              <w:jc w:val="right"/>
              <w:rPr>
                <w:rFonts w:ascii="Tahoma" w:hAnsi="Tahoma" w:cs="Tahoma"/>
                <w:sz w:val="22"/>
                <w:szCs w:val="22"/>
              </w:rPr>
            </w:pPr>
            <w:r w:rsidRPr="00F154E6">
              <w:rPr>
                <w:rFonts w:ascii="Tahoma" w:hAnsi="Tahoma" w:cs="Tahoma"/>
                <w:color w:val="000000"/>
                <w:sz w:val="22"/>
                <w:szCs w:val="22"/>
              </w:rPr>
              <w:t>Nil</w:t>
            </w:r>
          </w:p>
        </w:tc>
        <w:tc>
          <w:tcPr>
            <w:tcW w:w="1522" w:type="dxa"/>
            <w:tcBorders>
              <w:top w:val="nil"/>
              <w:left w:val="nil"/>
              <w:bottom w:val="nil"/>
              <w:right w:val="nil"/>
            </w:tcBorders>
            <w:shd w:val="clear" w:color="auto" w:fill="auto"/>
            <w:noWrap/>
            <w:vAlign w:val="bottom"/>
          </w:tcPr>
          <w:p w:rsidR="00F154E6" w:rsidRPr="00F154E6" w:rsidRDefault="003F088B" w:rsidP="00D52794">
            <w:pPr>
              <w:jc w:val="right"/>
              <w:rPr>
                <w:rFonts w:ascii="Tahoma" w:hAnsi="Tahoma" w:cs="Tahoma"/>
                <w:sz w:val="22"/>
                <w:szCs w:val="22"/>
              </w:rPr>
            </w:pPr>
            <w:r>
              <w:rPr>
                <w:rFonts w:ascii="Tahoma" w:hAnsi="Tahoma" w:cs="Tahoma"/>
                <w:sz w:val="22"/>
                <w:szCs w:val="22"/>
              </w:rPr>
              <w:t>(101)</w:t>
            </w:r>
          </w:p>
        </w:tc>
      </w:tr>
      <w:tr w:rsidR="00735DCE" w:rsidTr="00735DCE">
        <w:trPr>
          <w:trHeight w:val="268"/>
        </w:trPr>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685"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1505"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1354"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1522"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r>
      <w:tr w:rsidR="00735DCE" w:rsidTr="00735DCE">
        <w:trPr>
          <w:trHeight w:val="488"/>
        </w:trPr>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r w:rsidRPr="00F154E6">
              <w:rPr>
                <w:rFonts w:ascii="Tahoma" w:hAnsi="Tahoma" w:cs="Tahoma"/>
                <w:sz w:val="22"/>
                <w:szCs w:val="22"/>
              </w:rPr>
              <w:t>Finance costs</w:t>
            </w:r>
          </w:p>
        </w:tc>
        <w:tc>
          <w:tcPr>
            <w:tcW w:w="1685"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1505"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1354" w:type="dxa"/>
            <w:tcBorders>
              <w:top w:val="nil"/>
              <w:left w:val="nil"/>
              <w:bottom w:val="nil"/>
              <w:right w:val="nil"/>
            </w:tcBorders>
            <w:shd w:val="clear" w:color="auto" w:fill="auto"/>
            <w:noWrap/>
            <w:vAlign w:val="bottom"/>
          </w:tcPr>
          <w:p w:rsidR="00F154E6" w:rsidRPr="00F154E6" w:rsidRDefault="00F154E6">
            <w:pPr>
              <w:jc w:val="right"/>
              <w:rPr>
                <w:rFonts w:ascii="Tahoma" w:hAnsi="Tahoma" w:cs="Tahoma"/>
                <w:sz w:val="22"/>
                <w:szCs w:val="22"/>
              </w:rPr>
            </w:pPr>
          </w:p>
        </w:tc>
        <w:tc>
          <w:tcPr>
            <w:tcW w:w="1522" w:type="dxa"/>
            <w:tcBorders>
              <w:top w:val="nil"/>
              <w:left w:val="nil"/>
              <w:bottom w:val="single" w:sz="8" w:space="0" w:color="auto"/>
              <w:right w:val="nil"/>
            </w:tcBorders>
            <w:shd w:val="clear" w:color="auto" w:fill="auto"/>
            <w:noWrap/>
            <w:vAlign w:val="bottom"/>
          </w:tcPr>
          <w:p w:rsidR="00F154E6" w:rsidRPr="00F154E6" w:rsidRDefault="00735DCE" w:rsidP="003F088B">
            <w:pPr>
              <w:jc w:val="right"/>
              <w:rPr>
                <w:rFonts w:ascii="Tahoma" w:hAnsi="Tahoma" w:cs="Tahoma"/>
                <w:sz w:val="22"/>
                <w:szCs w:val="22"/>
              </w:rPr>
            </w:pPr>
            <w:r>
              <w:rPr>
                <w:rFonts w:ascii="Tahoma" w:hAnsi="Tahoma" w:cs="Tahoma"/>
                <w:sz w:val="22"/>
                <w:szCs w:val="22"/>
              </w:rPr>
              <w:t>(</w:t>
            </w:r>
            <w:r w:rsidR="003F088B">
              <w:rPr>
                <w:rFonts w:ascii="Tahoma" w:hAnsi="Tahoma" w:cs="Tahoma"/>
                <w:sz w:val="22"/>
                <w:szCs w:val="22"/>
              </w:rPr>
              <w:t>544</w:t>
            </w:r>
            <w:r w:rsidR="00F154E6" w:rsidRPr="00F154E6">
              <w:rPr>
                <w:rFonts w:ascii="Tahoma" w:hAnsi="Tahoma" w:cs="Tahoma"/>
                <w:sz w:val="22"/>
                <w:szCs w:val="22"/>
              </w:rPr>
              <w:t>)</w:t>
            </w:r>
          </w:p>
        </w:tc>
      </w:tr>
      <w:tr w:rsidR="00735DCE" w:rsidTr="00735DCE">
        <w:trPr>
          <w:trHeight w:val="268"/>
        </w:trPr>
        <w:tc>
          <w:tcPr>
            <w:tcW w:w="3207" w:type="dxa"/>
            <w:gridSpan w:val="2"/>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r w:rsidRPr="00F154E6">
              <w:rPr>
                <w:rFonts w:ascii="Tahoma" w:hAnsi="Tahoma" w:cs="Tahoma"/>
                <w:sz w:val="22"/>
                <w:szCs w:val="22"/>
              </w:rPr>
              <w:t>Profit before taxation</w:t>
            </w: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05"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354"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22" w:type="dxa"/>
            <w:tcBorders>
              <w:top w:val="nil"/>
              <w:left w:val="nil"/>
              <w:bottom w:val="nil"/>
              <w:right w:val="nil"/>
            </w:tcBorders>
            <w:shd w:val="clear" w:color="auto" w:fill="auto"/>
            <w:noWrap/>
            <w:vAlign w:val="bottom"/>
          </w:tcPr>
          <w:p w:rsidR="00F154E6" w:rsidRPr="00F154E6" w:rsidRDefault="00496C15" w:rsidP="003F088B">
            <w:pPr>
              <w:jc w:val="right"/>
              <w:rPr>
                <w:rFonts w:ascii="Tahoma" w:hAnsi="Tahoma" w:cs="Tahoma"/>
                <w:sz w:val="22"/>
                <w:szCs w:val="22"/>
              </w:rPr>
            </w:pPr>
            <w:r>
              <w:rPr>
                <w:rFonts w:ascii="Tahoma" w:hAnsi="Tahoma" w:cs="Tahoma"/>
                <w:sz w:val="22"/>
                <w:szCs w:val="22"/>
              </w:rPr>
              <w:t>(</w:t>
            </w:r>
            <w:r w:rsidR="003F088B">
              <w:rPr>
                <w:rFonts w:ascii="Tahoma" w:hAnsi="Tahoma" w:cs="Tahoma"/>
                <w:sz w:val="22"/>
                <w:szCs w:val="22"/>
              </w:rPr>
              <w:t>645</w:t>
            </w:r>
            <w:r w:rsidR="0054152C">
              <w:rPr>
                <w:rFonts w:ascii="Tahoma" w:hAnsi="Tahoma" w:cs="Tahoma"/>
                <w:sz w:val="22"/>
                <w:szCs w:val="22"/>
              </w:rPr>
              <w:t>)</w:t>
            </w:r>
          </w:p>
        </w:tc>
      </w:tr>
      <w:tr w:rsidR="00735DCE" w:rsidTr="00735DCE">
        <w:trPr>
          <w:trHeight w:val="488"/>
        </w:trPr>
        <w:tc>
          <w:tcPr>
            <w:tcW w:w="1522"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r w:rsidRPr="00F154E6">
              <w:rPr>
                <w:rFonts w:ascii="Tahoma" w:hAnsi="Tahoma" w:cs="Tahoma"/>
                <w:sz w:val="22"/>
                <w:szCs w:val="22"/>
              </w:rPr>
              <w:t>Tax Expense</w:t>
            </w:r>
          </w:p>
        </w:tc>
        <w:tc>
          <w:tcPr>
            <w:tcW w:w="1685"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05"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354"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22" w:type="dxa"/>
            <w:tcBorders>
              <w:top w:val="nil"/>
              <w:left w:val="nil"/>
              <w:bottom w:val="nil"/>
              <w:right w:val="nil"/>
            </w:tcBorders>
            <w:shd w:val="clear" w:color="auto" w:fill="auto"/>
            <w:noWrap/>
            <w:vAlign w:val="bottom"/>
          </w:tcPr>
          <w:p w:rsidR="00F154E6" w:rsidRPr="00F154E6" w:rsidRDefault="00735DCE" w:rsidP="003F088B">
            <w:pPr>
              <w:jc w:val="right"/>
              <w:rPr>
                <w:rFonts w:ascii="Tahoma" w:hAnsi="Tahoma" w:cs="Tahoma"/>
                <w:sz w:val="22"/>
                <w:szCs w:val="22"/>
              </w:rPr>
            </w:pPr>
            <w:r>
              <w:rPr>
                <w:rFonts w:ascii="Tahoma" w:hAnsi="Tahoma" w:cs="Tahoma"/>
                <w:sz w:val="22"/>
                <w:szCs w:val="22"/>
              </w:rPr>
              <w:t xml:space="preserve"> </w:t>
            </w:r>
            <w:r w:rsidR="003F088B">
              <w:rPr>
                <w:rFonts w:ascii="Tahoma" w:hAnsi="Tahoma" w:cs="Tahoma"/>
                <w:sz w:val="22"/>
                <w:szCs w:val="22"/>
              </w:rPr>
              <w:t>Nil</w:t>
            </w:r>
          </w:p>
        </w:tc>
      </w:tr>
      <w:tr w:rsidR="00735DCE" w:rsidTr="00735DCE">
        <w:trPr>
          <w:trHeight w:val="280"/>
        </w:trPr>
        <w:tc>
          <w:tcPr>
            <w:tcW w:w="3207" w:type="dxa"/>
            <w:gridSpan w:val="2"/>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r w:rsidRPr="00F154E6">
              <w:rPr>
                <w:rFonts w:ascii="Tahoma" w:hAnsi="Tahoma" w:cs="Tahoma"/>
                <w:sz w:val="22"/>
                <w:szCs w:val="22"/>
              </w:rPr>
              <w:t>Profit after taxation</w:t>
            </w: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05"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286"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28"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354" w:type="dxa"/>
            <w:tcBorders>
              <w:top w:val="nil"/>
              <w:left w:val="nil"/>
              <w:bottom w:val="nil"/>
              <w:right w:val="nil"/>
            </w:tcBorders>
            <w:shd w:val="clear" w:color="auto" w:fill="auto"/>
            <w:noWrap/>
            <w:vAlign w:val="bottom"/>
          </w:tcPr>
          <w:p w:rsidR="00F154E6" w:rsidRPr="00F154E6" w:rsidRDefault="00F154E6">
            <w:pPr>
              <w:jc w:val="both"/>
              <w:rPr>
                <w:rFonts w:ascii="Tahoma" w:hAnsi="Tahoma" w:cs="Tahoma"/>
                <w:sz w:val="22"/>
                <w:szCs w:val="22"/>
              </w:rPr>
            </w:pPr>
          </w:p>
        </w:tc>
        <w:tc>
          <w:tcPr>
            <w:tcW w:w="1522" w:type="dxa"/>
            <w:tcBorders>
              <w:top w:val="single" w:sz="8" w:space="0" w:color="auto"/>
              <w:left w:val="nil"/>
              <w:bottom w:val="double" w:sz="6" w:space="0" w:color="auto"/>
              <w:right w:val="nil"/>
            </w:tcBorders>
            <w:shd w:val="clear" w:color="auto" w:fill="auto"/>
            <w:noWrap/>
            <w:vAlign w:val="bottom"/>
          </w:tcPr>
          <w:p w:rsidR="00F154E6" w:rsidRPr="00F154E6" w:rsidRDefault="00D52794" w:rsidP="003F088B">
            <w:pPr>
              <w:jc w:val="right"/>
              <w:rPr>
                <w:rFonts w:ascii="Tahoma" w:hAnsi="Tahoma" w:cs="Tahoma"/>
                <w:sz w:val="22"/>
                <w:szCs w:val="22"/>
              </w:rPr>
            </w:pPr>
            <w:r>
              <w:rPr>
                <w:rFonts w:ascii="Tahoma" w:hAnsi="Tahoma" w:cs="Tahoma"/>
                <w:sz w:val="22"/>
                <w:szCs w:val="22"/>
              </w:rPr>
              <w:t>(</w:t>
            </w:r>
            <w:r w:rsidR="003F088B">
              <w:rPr>
                <w:rFonts w:ascii="Tahoma" w:hAnsi="Tahoma" w:cs="Tahoma"/>
                <w:sz w:val="22"/>
                <w:szCs w:val="22"/>
              </w:rPr>
              <w:t>645</w:t>
            </w:r>
            <w:r w:rsidR="00F154E6" w:rsidRPr="00F154E6">
              <w:rPr>
                <w:rFonts w:ascii="Tahoma" w:hAnsi="Tahoma" w:cs="Tahoma"/>
                <w:sz w:val="22"/>
                <w:szCs w:val="22"/>
              </w:rPr>
              <w:t>)</w:t>
            </w:r>
          </w:p>
        </w:tc>
      </w:tr>
    </w:tbl>
    <w:p w:rsidR="00BC7B9E" w:rsidRDefault="00BC7B9E" w:rsidP="00C72DBF">
      <w:pPr>
        <w:ind w:left="360"/>
        <w:jc w:val="both"/>
        <w:rPr>
          <w:rFonts w:ascii="Tahoma" w:hAnsi="Tahoma" w:cs="Tahoma"/>
          <w:sz w:val="22"/>
          <w:szCs w:val="22"/>
        </w:rPr>
      </w:pPr>
    </w:p>
    <w:p w:rsidR="00680B4E" w:rsidRPr="00687500" w:rsidRDefault="00680B4E" w:rsidP="00C72DBF">
      <w:pPr>
        <w:ind w:left="360"/>
        <w:jc w:val="both"/>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lastRenderedPageBreak/>
        <w:t>VALUATION OF PROPERTY, PLANT &amp; EQUIPMENT</w:t>
      </w:r>
    </w:p>
    <w:p w:rsidR="00291059" w:rsidRPr="00687500" w:rsidRDefault="00291059" w:rsidP="00C72DBF">
      <w:pPr>
        <w:jc w:val="both"/>
        <w:rPr>
          <w:rFonts w:ascii="Tahoma" w:hAnsi="Tahoma" w:cs="Tahoma"/>
          <w:b/>
          <w:sz w:val="22"/>
          <w:szCs w:val="22"/>
        </w:rPr>
      </w:pPr>
    </w:p>
    <w:p w:rsidR="00291059" w:rsidRPr="00687500" w:rsidRDefault="00291059" w:rsidP="00C72DBF">
      <w:pPr>
        <w:pStyle w:val="BodyTextIndent2"/>
        <w:rPr>
          <w:rFonts w:ascii="Tahoma" w:hAnsi="Tahoma" w:cs="Tahoma"/>
          <w:sz w:val="22"/>
          <w:szCs w:val="22"/>
        </w:rPr>
      </w:pPr>
      <w:r w:rsidRPr="00687500">
        <w:rPr>
          <w:rFonts w:ascii="Tahoma" w:hAnsi="Tahoma" w:cs="Tahoma"/>
          <w:sz w:val="22"/>
          <w:szCs w:val="22"/>
        </w:rPr>
        <w:t xml:space="preserve">There is no valuation of property, plant and equipment </w:t>
      </w:r>
      <w:r w:rsidR="0051602A" w:rsidRPr="00687500">
        <w:rPr>
          <w:rFonts w:ascii="Tahoma" w:hAnsi="Tahoma" w:cs="Tahoma"/>
          <w:sz w:val="22"/>
          <w:szCs w:val="22"/>
        </w:rPr>
        <w:t xml:space="preserve">since the last audited financial statements </w:t>
      </w:r>
      <w:r w:rsidRPr="00687500">
        <w:rPr>
          <w:rFonts w:ascii="Tahoma" w:hAnsi="Tahoma" w:cs="Tahoma"/>
          <w:sz w:val="22"/>
          <w:szCs w:val="22"/>
        </w:rPr>
        <w:t xml:space="preserve">for the year ended 31 </w:t>
      </w:r>
      <w:r w:rsidR="003F088B">
        <w:rPr>
          <w:rFonts w:ascii="Tahoma" w:hAnsi="Tahoma" w:cs="Tahoma"/>
          <w:sz w:val="22"/>
          <w:szCs w:val="22"/>
        </w:rPr>
        <w:t>March 2012</w:t>
      </w:r>
      <w:r w:rsidRPr="00687500">
        <w:rPr>
          <w:rFonts w:ascii="Tahoma" w:hAnsi="Tahoma" w:cs="Tahoma"/>
          <w:sz w:val="22"/>
          <w:szCs w:val="22"/>
        </w:rPr>
        <w:t>.</w:t>
      </w:r>
    </w:p>
    <w:p w:rsidR="00201DCB" w:rsidRPr="00687500" w:rsidRDefault="00201DCB" w:rsidP="00C72DBF">
      <w:pPr>
        <w:pStyle w:val="BodyTextIndent2"/>
        <w:rPr>
          <w:rFonts w:ascii="Tahoma" w:hAnsi="Tahoma" w:cs="Tahoma"/>
          <w:sz w:val="22"/>
          <w:szCs w:val="22"/>
        </w:rPr>
      </w:pPr>
    </w:p>
    <w:p w:rsidR="00201DCB" w:rsidRPr="00687500" w:rsidRDefault="00201DCB" w:rsidP="00C72DBF">
      <w:pPr>
        <w:pStyle w:val="BodyTextIndent2"/>
        <w:rPr>
          <w:rFonts w:ascii="Tahoma" w:hAnsi="Tahoma" w:cs="Tahoma"/>
          <w:sz w:val="22"/>
          <w:szCs w:val="22"/>
        </w:rPr>
      </w:pPr>
    </w:p>
    <w:p w:rsidR="00291059" w:rsidRPr="00687500" w:rsidRDefault="006B39BE" w:rsidP="00C72DBF">
      <w:pPr>
        <w:numPr>
          <w:ilvl w:val="0"/>
          <w:numId w:val="1"/>
        </w:numPr>
        <w:jc w:val="both"/>
        <w:rPr>
          <w:rFonts w:ascii="Tahoma" w:hAnsi="Tahoma" w:cs="Tahoma"/>
          <w:b/>
          <w:sz w:val="22"/>
          <w:szCs w:val="22"/>
        </w:rPr>
      </w:pPr>
      <w:r w:rsidRPr="00687500">
        <w:rPr>
          <w:rFonts w:ascii="Tahoma" w:hAnsi="Tahoma" w:cs="Tahoma"/>
          <w:b/>
          <w:sz w:val="22"/>
          <w:szCs w:val="22"/>
        </w:rPr>
        <w:t xml:space="preserve"> </w:t>
      </w:r>
      <w:r w:rsidR="00291059" w:rsidRPr="00687500">
        <w:rPr>
          <w:rFonts w:ascii="Tahoma" w:hAnsi="Tahoma" w:cs="Tahoma"/>
          <w:b/>
          <w:sz w:val="22"/>
          <w:szCs w:val="22"/>
        </w:rPr>
        <w:t>SUBSEQUENT EVENT</w:t>
      </w:r>
      <w:r w:rsidR="0051602A" w:rsidRPr="00687500">
        <w:rPr>
          <w:rFonts w:ascii="Tahoma" w:hAnsi="Tahoma" w:cs="Tahoma"/>
          <w:b/>
          <w:sz w:val="22"/>
          <w:szCs w:val="22"/>
        </w:rPr>
        <w:t>S</w:t>
      </w:r>
    </w:p>
    <w:p w:rsidR="00291059" w:rsidRPr="00687500" w:rsidRDefault="00291059" w:rsidP="00C72DBF">
      <w:pPr>
        <w:jc w:val="both"/>
        <w:rPr>
          <w:rFonts w:ascii="Tahoma" w:hAnsi="Tahoma" w:cs="Tahoma"/>
          <w:b/>
          <w:sz w:val="22"/>
          <w:szCs w:val="22"/>
        </w:rPr>
      </w:pPr>
    </w:p>
    <w:p w:rsidR="00291059" w:rsidRPr="00687500" w:rsidRDefault="00291059" w:rsidP="00C72DBF">
      <w:pPr>
        <w:pStyle w:val="BodyTextIndent2"/>
        <w:rPr>
          <w:rFonts w:ascii="Tahoma" w:hAnsi="Tahoma" w:cs="Tahoma"/>
          <w:bCs/>
          <w:sz w:val="22"/>
          <w:szCs w:val="22"/>
        </w:rPr>
      </w:pPr>
      <w:r w:rsidRPr="00687500">
        <w:rPr>
          <w:rFonts w:ascii="Tahoma" w:hAnsi="Tahoma" w:cs="Tahoma"/>
          <w:bCs/>
          <w:sz w:val="22"/>
          <w:szCs w:val="22"/>
        </w:rPr>
        <w:t>There were no material events subsequent to the</w:t>
      </w:r>
      <w:r w:rsidR="0051602A" w:rsidRPr="00687500">
        <w:rPr>
          <w:rFonts w:ascii="Tahoma" w:hAnsi="Tahoma" w:cs="Tahoma"/>
          <w:bCs/>
          <w:sz w:val="22"/>
          <w:szCs w:val="22"/>
        </w:rPr>
        <w:t xml:space="preserve"> end of the current quarter</w:t>
      </w:r>
      <w:r w:rsidRPr="00687500">
        <w:rPr>
          <w:rFonts w:ascii="Tahoma" w:hAnsi="Tahoma" w:cs="Tahoma"/>
          <w:bCs/>
          <w:sz w:val="22"/>
          <w:szCs w:val="22"/>
        </w:rPr>
        <w:t xml:space="preserve"> under review.  </w:t>
      </w:r>
    </w:p>
    <w:p w:rsidR="00291059" w:rsidRPr="00687500" w:rsidRDefault="00291059" w:rsidP="00C72DBF">
      <w:pPr>
        <w:jc w:val="both"/>
        <w:rPr>
          <w:rFonts w:ascii="Tahoma" w:hAnsi="Tahoma" w:cs="Tahoma"/>
          <w:b/>
          <w:sz w:val="22"/>
          <w:szCs w:val="22"/>
        </w:rPr>
      </w:pPr>
    </w:p>
    <w:p w:rsidR="00252751" w:rsidRPr="00687500" w:rsidRDefault="00252751" w:rsidP="00C72DBF">
      <w:pPr>
        <w:jc w:val="both"/>
        <w:rPr>
          <w:rFonts w:ascii="Tahoma" w:hAnsi="Tahoma" w:cs="Tahoma"/>
          <w:b/>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CHANGES IN THE COMPOSITION OF THE GROUP</w:t>
      </w:r>
    </w:p>
    <w:p w:rsidR="0051602A" w:rsidRPr="00687500" w:rsidRDefault="0051602A" w:rsidP="00C72DBF">
      <w:pPr>
        <w:ind w:left="360"/>
        <w:jc w:val="both"/>
        <w:rPr>
          <w:rFonts w:ascii="Tahoma" w:hAnsi="Tahoma" w:cs="Tahoma"/>
          <w:b/>
          <w:sz w:val="22"/>
          <w:szCs w:val="22"/>
        </w:rPr>
      </w:pPr>
    </w:p>
    <w:p w:rsidR="00291059" w:rsidRPr="00687500" w:rsidRDefault="00291059" w:rsidP="00C72DBF">
      <w:pPr>
        <w:pStyle w:val="BodyTextIndent"/>
        <w:jc w:val="both"/>
        <w:rPr>
          <w:rFonts w:ascii="Tahoma" w:hAnsi="Tahoma" w:cs="Tahoma"/>
          <w:sz w:val="22"/>
          <w:szCs w:val="22"/>
        </w:rPr>
      </w:pPr>
      <w:r w:rsidRPr="00687500">
        <w:rPr>
          <w:rFonts w:ascii="Tahoma" w:hAnsi="Tahoma" w:cs="Tahoma"/>
          <w:sz w:val="22"/>
          <w:szCs w:val="22"/>
        </w:rPr>
        <w:t xml:space="preserve">There were no changes in the composition of the Group during the </w:t>
      </w:r>
      <w:r w:rsidR="0051602A" w:rsidRPr="00687500">
        <w:rPr>
          <w:rFonts w:ascii="Tahoma" w:hAnsi="Tahoma" w:cs="Tahoma"/>
          <w:sz w:val="22"/>
          <w:szCs w:val="22"/>
        </w:rPr>
        <w:t xml:space="preserve">current </w:t>
      </w:r>
      <w:r w:rsidRPr="00687500">
        <w:rPr>
          <w:rFonts w:ascii="Tahoma" w:hAnsi="Tahoma" w:cs="Tahoma"/>
          <w:sz w:val="22"/>
          <w:szCs w:val="22"/>
        </w:rPr>
        <w:t xml:space="preserve">quarter </w:t>
      </w:r>
      <w:r w:rsidR="0051602A" w:rsidRPr="00687500">
        <w:rPr>
          <w:rFonts w:ascii="Tahoma" w:hAnsi="Tahoma" w:cs="Tahoma"/>
          <w:sz w:val="22"/>
          <w:szCs w:val="22"/>
        </w:rPr>
        <w:t>under review.</w:t>
      </w:r>
    </w:p>
    <w:p w:rsidR="0019118F" w:rsidRPr="00687500" w:rsidRDefault="0019118F" w:rsidP="00C72DBF">
      <w:pPr>
        <w:pStyle w:val="BodyTextIndent"/>
        <w:jc w:val="both"/>
        <w:rPr>
          <w:rFonts w:ascii="Tahoma" w:hAnsi="Tahoma" w:cs="Tahoma"/>
          <w:sz w:val="22"/>
          <w:szCs w:val="22"/>
        </w:rPr>
      </w:pPr>
    </w:p>
    <w:p w:rsidR="00680B4E" w:rsidRDefault="00680B4E" w:rsidP="00C72DBF">
      <w:pPr>
        <w:pStyle w:val="BodyTextIndent"/>
        <w:jc w:val="both"/>
        <w:rPr>
          <w:rFonts w:ascii="Tahoma" w:hAnsi="Tahoma" w:cs="Tahoma"/>
          <w:sz w:val="22"/>
          <w:szCs w:val="22"/>
        </w:rPr>
      </w:pPr>
    </w:p>
    <w:p w:rsidR="00291059" w:rsidRPr="00687500" w:rsidRDefault="0051602A" w:rsidP="00C72DBF">
      <w:pPr>
        <w:numPr>
          <w:ilvl w:val="0"/>
          <w:numId w:val="1"/>
        </w:numPr>
        <w:jc w:val="both"/>
        <w:rPr>
          <w:rFonts w:ascii="Tahoma" w:hAnsi="Tahoma" w:cs="Tahoma"/>
          <w:b/>
          <w:sz w:val="22"/>
          <w:szCs w:val="22"/>
        </w:rPr>
      </w:pPr>
      <w:r w:rsidRPr="00687500">
        <w:rPr>
          <w:rFonts w:ascii="Tahoma" w:hAnsi="Tahoma" w:cs="Tahoma"/>
          <w:b/>
          <w:sz w:val="22"/>
          <w:szCs w:val="22"/>
        </w:rPr>
        <w:t xml:space="preserve">CHANGES IN </w:t>
      </w:r>
      <w:r w:rsidR="00291059" w:rsidRPr="00687500">
        <w:rPr>
          <w:rFonts w:ascii="Tahoma" w:hAnsi="Tahoma" w:cs="Tahoma"/>
          <w:b/>
          <w:sz w:val="22"/>
          <w:szCs w:val="22"/>
        </w:rPr>
        <w:t>CONTINGENT LIABILITIES</w:t>
      </w:r>
      <w:r w:rsidRPr="00687500">
        <w:rPr>
          <w:rFonts w:ascii="Tahoma" w:hAnsi="Tahoma" w:cs="Tahoma"/>
          <w:b/>
          <w:sz w:val="22"/>
          <w:szCs w:val="22"/>
        </w:rPr>
        <w:t xml:space="preserve"> OR CONTINGENT ASSETS</w:t>
      </w:r>
    </w:p>
    <w:p w:rsidR="0051602A" w:rsidRPr="00687500" w:rsidRDefault="0051602A" w:rsidP="00C72DBF">
      <w:pPr>
        <w:ind w:left="360"/>
        <w:jc w:val="both"/>
        <w:rPr>
          <w:rFonts w:ascii="Tahoma" w:hAnsi="Tahoma" w:cs="Tahoma"/>
          <w:b/>
          <w:sz w:val="22"/>
          <w:szCs w:val="22"/>
        </w:rPr>
      </w:pPr>
    </w:p>
    <w:p w:rsidR="00291059" w:rsidRPr="00687500" w:rsidRDefault="00291059" w:rsidP="00C72DBF">
      <w:pPr>
        <w:ind w:left="360"/>
        <w:jc w:val="both"/>
        <w:rPr>
          <w:rFonts w:ascii="Tahoma" w:hAnsi="Tahoma" w:cs="Tahoma"/>
          <w:sz w:val="22"/>
          <w:szCs w:val="22"/>
        </w:rPr>
      </w:pPr>
      <w:r w:rsidRPr="00687500">
        <w:rPr>
          <w:rFonts w:ascii="Tahoma" w:hAnsi="Tahoma" w:cs="Tahoma"/>
          <w:sz w:val="22"/>
          <w:szCs w:val="22"/>
        </w:rPr>
        <w:t xml:space="preserve">There were no </w:t>
      </w:r>
      <w:r w:rsidR="00C90E2F" w:rsidRPr="00687500">
        <w:rPr>
          <w:rFonts w:ascii="Tahoma" w:hAnsi="Tahoma" w:cs="Tahoma"/>
          <w:sz w:val="22"/>
          <w:szCs w:val="22"/>
        </w:rPr>
        <w:t>material changes in contingent liabilities</w:t>
      </w:r>
      <w:r w:rsidR="0051602A" w:rsidRPr="00687500">
        <w:rPr>
          <w:rFonts w:ascii="Tahoma" w:hAnsi="Tahoma" w:cs="Tahoma"/>
          <w:sz w:val="22"/>
          <w:szCs w:val="22"/>
        </w:rPr>
        <w:t xml:space="preserve"> or contingent assets</w:t>
      </w:r>
      <w:r w:rsidR="00C90E2F" w:rsidRPr="00687500">
        <w:rPr>
          <w:rFonts w:ascii="Tahoma" w:hAnsi="Tahoma" w:cs="Tahoma"/>
          <w:sz w:val="22"/>
          <w:szCs w:val="22"/>
        </w:rPr>
        <w:t xml:space="preserve"> since the last audited financial statem</w:t>
      </w:r>
      <w:r w:rsidR="00427CAE" w:rsidRPr="00687500">
        <w:rPr>
          <w:rFonts w:ascii="Tahoma" w:hAnsi="Tahoma" w:cs="Tahoma"/>
          <w:sz w:val="22"/>
          <w:szCs w:val="22"/>
        </w:rPr>
        <w:t xml:space="preserve">ents for the </w:t>
      </w:r>
      <w:r w:rsidR="00170CDC" w:rsidRPr="00687500">
        <w:rPr>
          <w:rFonts w:ascii="Tahoma" w:hAnsi="Tahoma" w:cs="Tahoma"/>
          <w:sz w:val="22"/>
          <w:szCs w:val="22"/>
        </w:rPr>
        <w:t>year</w:t>
      </w:r>
      <w:r w:rsidR="00427CAE" w:rsidRPr="00687500">
        <w:rPr>
          <w:rFonts w:ascii="Tahoma" w:hAnsi="Tahoma" w:cs="Tahoma"/>
          <w:sz w:val="22"/>
          <w:szCs w:val="22"/>
        </w:rPr>
        <w:t xml:space="preserve"> ended </w:t>
      </w:r>
      <w:r w:rsidR="003F088B" w:rsidRPr="00687500">
        <w:rPr>
          <w:rFonts w:ascii="Tahoma" w:hAnsi="Tahoma" w:cs="Tahoma"/>
          <w:sz w:val="22"/>
          <w:szCs w:val="22"/>
        </w:rPr>
        <w:t xml:space="preserve">31 </w:t>
      </w:r>
      <w:r w:rsidR="003F088B">
        <w:rPr>
          <w:rFonts w:ascii="Tahoma" w:hAnsi="Tahoma" w:cs="Tahoma"/>
          <w:sz w:val="22"/>
          <w:szCs w:val="22"/>
        </w:rPr>
        <w:t>March 2012</w:t>
      </w:r>
      <w:r w:rsidR="00C90E2F" w:rsidRPr="00687500">
        <w:rPr>
          <w:rFonts w:ascii="Tahoma" w:hAnsi="Tahoma" w:cs="Tahoma"/>
          <w:sz w:val="22"/>
          <w:szCs w:val="22"/>
        </w:rPr>
        <w:t>.</w:t>
      </w:r>
    </w:p>
    <w:p w:rsidR="00372659" w:rsidRPr="00687500" w:rsidRDefault="00372659" w:rsidP="00C72DBF">
      <w:pPr>
        <w:ind w:left="360"/>
        <w:jc w:val="both"/>
        <w:rPr>
          <w:rFonts w:ascii="Tahoma" w:hAnsi="Tahoma" w:cs="Tahoma"/>
          <w:sz w:val="22"/>
          <w:szCs w:val="22"/>
        </w:rPr>
      </w:pPr>
    </w:p>
    <w:p w:rsidR="003B11D6" w:rsidRPr="00687500" w:rsidRDefault="003B11D6" w:rsidP="00C72DBF">
      <w:pPr>
        <w:ind w:left="360"/>
        <w:jc w:val="both"/>
        <w:rPr>
          <w:rFonts w:ascii="Tahoma" w:hAnsi="Tahoma" w:cs="Tahoma"/>
          <w:sz w:val="22"/>
          <w:szCs w:val="22"/>
        </w:rPr>
      </w:pPr>
    </w:p>
    <w:p w:rsidR="0051602A" w:rsidRPr="00687500" w:rsidRDefault="0051602A" w:rsidP="00C72DBF">
      <w:pPr>
        <w:numPr>
          <w:ilvl w:val="0"/>
          <w:numId w:val="1"/>
        </w:numPr>
        <w:jc w:val="both"/>
        <w:rPr>
          <w:rFonts w:ascii="Tahoma" w:hAnsi="Tahoma" w:cs="Tahoma"/>
          <w:b/>
          <w:sz w:val="22"/>
          <w:szCs w:val="22"/>
        </w:rPr>
      </w:pPr>
      <w:r w:rsidRPr="00687500">
        <w:rPr>
          <w:rFonts w:ascii="Tahoma" w:hAnsi="Tahoma" w:cs="Tahoma"/>
          <w:b/>
          <w:sz w:val="22"/>
          <w:szCs w:val="22"/>
        </w:rPr>
        <w:t>CAPITAL COMMITMENT</w:t>
      </w:r>
      <w:r w:rsidR="006B39BE" w:rsidRPr="00687500">
        <w:rPr>
          <w:rFonts w:ascii="Tahoma" w:hAnsi="Tahoma" w:cs="Tahoma"/>
          <w:b/>
          <w:sz w:val="22"/>
          <w:szCs w:val="22"/>
        </w:rPr>
        <w:t>S</w:t>
      </w:r>
    </w:p>
    <w:p w:rsidR="0051602A" w:rsidRPr="00687500" w:rsidRDefault="0051602A" w:rsidP="00C72DBF">
      <w:pPr>
        <w:ind w:left="360"/>
        <w:jc w:val="both"/>
        <w:rPr>
          <w:rFonts w:ascii="Tahoma" w:hAnsi="Tahoma" w:cs="Tahoma"/>
          <w:b/>
          <w:sz w:val="22"/>
          <w:szCs w:val="22"/>
        </w:rPr>
      </w:pPr>
    </w:p>
    <w:p w:rsidR="0051602A" w:rsidRPr="00687500" w:rsidRDefault="0051602A" w:rsidP="00C72DBF">
      <w:pPr>
        <w:ind w:left="360"/>
        <w:jc w:val="both"/>
        <w:rPr>
          <w:rFonts w:ascii="Tahoma" w:hAnsi="Tahoma" w:cs="Tahoma"/>
          <w:sz w:val="22"/>
          <w:szCs w:val="22"/>
        </w:rPr>
      </w:pPr>
      <w:r w:rsidRPr="00687500">
        <w:rPr>
          <w:rFonts w:ascii="Tahoma" w:hAnsi="Tahoma" w:cs="Tahoma"/>
          <w:sz w:val="22"/>
          <w:szCs w:val="22"/>
        </w:rPr>
        <w:t>There were no capital commitments as at end of the current quarter under review.</w:t>
      </w:r>
    </w:p>
    <w:p w:rsidR="00252751" w:rsidRPr="00687500" w:rsidRDefault="00252751" w:rsidP="00C72DBF">
      <w:pPr>
        <w:jc w:val="both"/>
        <w:rPr>
          <w:rFonts w:ascii="Tahoma" w:hAnsi="Tahoma" w:cs="Tahoma"/>
          <w:sz w:val="22"/>
          <w:szCs w:val="22"/>
        </w:rPr>
      </w:pPr>
    </w:p>
    <w:p w:rsidR="00A334EA" w:rsidRPr="00687500" w:rsidRDefault="00A334EA" w:rsidP="00C72DBF">
      <w:pPr>
        <w:jc w:val="both"/>
        <w:rPr>
          <w:rFonts w:ascii="Tahoma" w:hAnsi="Tahoma" w:cs="Tahoma"/>
          <w:sz w:val="22"/>
          <w:szCs w:val="22"/>
        </w:rPr>
      </w:pPr>
    </w:p>
    <w:p w:rsidR="000C3B10" w:rsidRPr="00687500" w:rsidRDefault="000C3B10" w:rsidP="00C72DBF">
      <w:pPr>
        <w:numPr>
          <w:ilvl w:val="0"/>
          <w:numId w:val="1"/>
        </w:numPr>
        <w:jc w:val="both"/>
        <w:rPr>
          <w:rFonts w:ascii="Tahoma" w:hAnsi="Tahoma" w:cs="Tahoma"/>
          <w:b/>
          <w:sz w:val="22"/>
          <w:szCs w:val="22"/>
        </w:rPr>
      </w:pPr>
      <w:r w:rsidRPr="00687500">
        <w:rPr>
          <w:rFonts w:ascii="Tahoma" w:hAnsi="Tahoma" w:cs="Tahoma"/>
          <w:b/>
          <w:sz w:val="22"/>
          <w:szCs w:val="22"/>
        </w:rPr>
        <w:t>SIGNIFICANT RELATED PARTY TRANSACTIONS</w:t>
      </w:r>
    </w:p>
    <w:p w:rsidR="000C3B10" w:rsidRPr="00687500" w:rsidRDefault="000C3B10" w:rsidP="00C72DBF">
      <w:pPr>
        <w:pStyle w:val="BodyTextIndent2"/>
        <w:ind w:left="0"/>
        <w:rPr>
          <w:rFonts w:ascii="Tahoma" w:hAnsi="Tahoma" w:cs="Tahoma"/>
          <w:sz w:val="22"/>
          <w:szCs w:val="22"/>
        </w:rPr>
      </w:pPr>
    </w:p>
    <w:p w:rsidR="000C3B10" w:rsidRPr="00687500" w:rsidRDefault="000C3B10" w:rsidP="00C72DBF">
      <w:pPr>
        <w:pStyle w:val="BodyTextIndent2"/>
        <w:ind w:left="240"/>
        <w:rPr>
          <w:rFonts w:ascii="Tahoma" w:hAnsi="Tahoma" w:cs="Tahoma"/>
          <w:sz w:val="22"/>
          <w:szCs w:val="22"/>
        </w:rPr>
      </w:pPr>
      <w:r w:rsidRPr="00687500">
        <w:rPr>
          <w:rFonts w:ascii="Tahoma" w:hAnsi="Tahoma" w:cs="Tahoma"/>
          <w:sz w:val="22"/>
          <w:szCs w:val="22"/>
        </w:rPr>
        <w:t xml:space="preserve">The Group has the following transactions </w:t>
      </w:r>
      <w:r w:rsidR="006B39BE" w:rsidRPr="00687500">
        <w:rPr>
          <w:rFonts w:ascii="Tahoma" w:hAnsi="Tahoma" w:cs="Tahoma"/>
          <w:sz w:val="22"/>
          <w:szCs w:val="22"/>
        </w:rPr>
        <w:t xml:space="preserve">with related parties </w:t>
      </w:r>
      <w:r w:rsidRPr="00687500">
        <w:rPr>
          <w:rFonts w:ascii="Tahoma" w:hAnsi="Tahoma" w:cs="Tahoma"/>
          <w:sz w:val="22"/>
          <w:szCs w:val="22"/>
        </w:rPr>
        <w:t>during the current quarter under review and financial year-to-date:-</w:t>
      </w:r>
    </w:p>
    <w:p w:rsidR="000C3B10" w:rsidRPr="00687500" w:rsidRDefault="000C3B10" w:rsidP="00C72DBF">
      <w:pPr>
        <w:pStyle w:val="BodyTextIndent2"/>
        <w:ind w:left="240"/>
        <w:rPr>
          <w:rFonts w:ascii="Tahoma" w:hAnsi="Tahoma" w:cs="Tahoma"/>
          <w:sz w:val="22"/>
          <w:szCs w:val="22"/>
        </w:rPr>
      </w:pPr>
    </w:p>
    <w:tbl>
      <w:tblPr>
        <w:tblW w:w="9380" w:type="dxa"/>
        <w:tblInd w:w="531" w:type="dxa"/>
        <w:tblLook w:val="04A0"/>
      </w:tblPr>
      <w:tblGrid>
        <w:gridCol w:w="2718"/>
        <w:gridCol w:w="2141"/>
        <w:gridCol w:w="251"/>
        <w:gridCol w:w="216"/>
        <w:gridCol w:w="216"/>
        <w:gridCol w:w="276"/>
        <w:gridCol w:w="1199"/>
        <w:gridCol w:w="222"/>
        <w:gridCol w:w="222"/>
        <w:gridCol w:w="1475"/>
        <w:gridCol w:w="222"/>
        <w:gridCol w:w="222"/>
      </w:tblGrid>
      <w:tr w:rsidR="00615152" w:rsidRPr="00687500">
        <w:trPr>
          <w:trHeight w:val="300"/>
        </w:trPr>
        <w:tc>
          <w:tcPr>
            <w:tcW w:w="4859"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51"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432"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b/>
                <w:bCs/>
                <w:color w:val="000000"/>
                <w:sz w:val="22"/>
                <w:szCs w:val="22"/>
              </w:rPr>
            </w:pPr>
          </w:p>
        </w:tc>
        <w:tc>
          <w:tcPr>
            <w:tcW w:w="1475"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b/>
                <w:bCs/>
                <w:color w:val="000000"/>
                <w:sz w:val="22"/>
                <w:szCs w:val="22"/>
              </w:rPr>
            </w:pPr>
            <w:r w:rsidRPr="00687500">
              <w:rPr>
                <w:rFonts w:ascii="Tahoma" w:hAnsi="Tahoma" w:cs="Tahoma"/>
                <w:b/>
                <w:bCs/>
                <w:color w:val="000000"/>
                <w:sz w:val="22"/>
                <w:szCs w:val="22"/>
              </w:rPr>
              <w:t>3 months ended</w:t>
            </w: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b/>
                <w:bCs/>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b/>
                <w:bCs/>
                <w:color w:val="000000"/>
                <w:sz w:val="22"/>
                <w:szCs w:val="22"/>
              </w:rPr>
            </w:pPr>
            <w:r w:rsidRPr="00687500">
              <w:rPr>
                <w:rFonts w:ascii="Tahoma" w:hAnsi="Tahoma" w:cs="Tahoma"/>
                <w:b/>
                <w:bCs/>
                <w:color w:val="000000"/>
                <w:sz w:val="22"/>
                <w:szCs w:val="22"/>
              </w:rPr>
              <w:t>Cumulative ended</w:t>
            </w: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r>
      <w:tr w:rsidR="00615152" w:rsidRPr="00687500">
        <w:trPr>
          <w:trHeight w:val="300"/>
        </w:trPr>
        <w:tc>
          <w:tcPr>
            <w:tcW w:w="4859"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51"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432"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b/>
                <w:bCs/>
                <w:color w:val="000000"/>
                <w:sz w:val="22"/>
                <w:szCs w:val="22"/>
              </w:rPr>
            </w:pPr>
          </w:p>
        </w:tc>
        <w:tc>
          <w:tcPr>
            <w:tcW w:w="1475" w:type="dxa"/>
            <w:gridSpan w:val="2"/>
            <w:tcBorders>
              <w:top w:val="nil"/>
              <w:left w:val="nil"/>
              <w:bottom w:val="nil"/>
              <w:right w:val="nil"/>
            </w:tcBorders>
            <w:shd w:val="clear" w:color="auto" w:fill="auto"/>
            <w:noWrap/>
            <w:vAlign w:val="bottom"/>
          </w:tcPr>
          <w:p w:rsidR="00615152" w:rsidRPr="00687500" w:rsidRDefault="00615152" w:rsidP="003F088B">
            <w:pPr>
              <w:jc w:val="both"/>
              <w:rPr>
                <w:rFonts w:ascii="Tahoma" w:hAnsi="Tahoma" w:cs="Tahoma"/>
                <w:b/>
                <w:bCs/>
                <w:color w:val="000000"/>
                <w:sz w:val="22"/>
                <w:szCs w:val="22"/>
              </w:rPr>
            </w:pPr>
            <w:r w:rsidRPr="00687500">
              <w:rPr>
                <w:rFonts w:ascii="Tahoma" w:hAnsi="Tahoma" w:cs="Tahoma"/>
                <w:b/>
                <w:bCs/>
                <w:color w:val="000000"/>
                <w:sz w:val="22"/>
                <w:szCs w:val="22"/>
              </w:rPr>
              <w:t>31.</w:t>
            </w:r>
            <w:r w:rsidR="003F088B">
              <w:rPr>
                <w:rFonts w:ascii="Tahoma" w:hAnsi="Tahoma" w:cs="Tahoma"/>
                <w:b/>
                <w:bCs/>
                <w:color w:val="000000"/>
                <w:sz w:val="22"/>
                <w:szCs w:val="22"/>
              </w:rPr>
              <w:t>03</w:t>
            </w:r>
            <w:r w:rsidRPr="00687500">
              <w:rPr>
                <w:rFonts w:ascii="Tahoma" w:hAnsi="Tahoma" w:cs="Tahoma"/>
                <w:b/>
                <w:bCs/>
                <w:color w:val="000000"/>
                <w:sz w:val="22"/>
                <w:szCs w:val="22"/>
              </w:rPr>
              <w:t>.201</w:t>
            </w:r>
            <w:r w:rsidR="003F088B">
              <w:rPr>
                <w:rFonts w:ascii="Tahoma" w:hAnsi="Tahoma" w:cs="Tahoma"/>
                <w:b/>
                <w:bCs/>
                <w:color w:val="000000"/>
                <w:sz w:val="22"/>
                <w:szCs w:val="22"/>
              </w:rPr>
              <w:t>2</w:t>
            </w: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b/>
                <w:bCs/>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615152" w:rsidRPr="00687500" w:rsidRDefault="00615152" w:rsidP="003F088B">
            <w:pPr>
              <w:jc w:val="both"/>
              <w:rPr>
                <w:rFonts w:ascii="Tahoma" w:hAnsi="Tahoma" w:cs="Tahoma"/>
                <w:b/>
                <w:bCs/>
                <w:color w:val="000000"/>
                <w:sz w:val="22"/>
                <w:szCs w:val="22"/>
              </w:rPr>
            </w:pPr>
            <w:r w:rsidRPr="00687500">
              <w:rPr>
                <w:rFonts w:ascii="Tahoma" w:hAnsi="Tahoma" w:cs="Tahoma"/>
                <w:b/>
                <w:bCs/>
                <w:color w:val="000000"/>
                <w:sz w:val="22"/>
                <w:szCs w:val="22"/>
              </w:rPr>
              <w:t>31.</w:t>
            </w:r>
            <w:r w:rsidR="003F088B">
              <w:rPr>
                <w:rFonts w:ascii="Tahoma" w:hAnsi="Tahoma" w:cs="Tahoma"/>
                <w:b/>
                <w:bCs/>
                <w:color w:val="000000"/>
                <w:sz w:val="22"/>
                <w:szCs w:val="22"/>
              </w:rPr>
              <w:t>03.2012</w:t>
            </w: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r>
      <w:tr w:rsidR="00615152" w:rsidRPr="00687500">
        <w:trPr>
          <w:trHeight w:val="300"/>
        </w:trPr>
        <w:tc>
          <w:tcPr>
            <w:tcW w:w="4859"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51"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432"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b/>
                <w:bCs/>
                <w:color w:val="000000"/>
                <w:sz w:val="22"/>
                <w:szCs w:val="22"/>
              </w:rPr>
            </w:pPr>
          </w:p>
        </w:tc>
        <w:tc>
          <w:tcPr>
            <w:tcW w:w="1475"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b/>
                <w:bCs/>
                <w:color w:val="000000"/>
                <w:sz w:val="22"/>
                <w:szCs w:val="22"/>
                <w:u w:val="single"/>
              </w:rPr>
            </w:pPr>
            <w:r w:rsidRPr="00687500">
              <w:rPr>
                <w:rFonts w:ascii="Tahoma" w:hAnsi="Tahoma" w:cs="Tahoma"/>
                <w:b/>
                <w:bCs/>
                <w:color w:val="000000"/>
                <w:sz w:val="22"/>
                <w:szCs w:val="22"/>
                <w:u w:val="single"/>
              </w:rPr>
              <w:t>RM'000</w:t>
            </w: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b/>
                <w:bCs/>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b/>
                <w:bCs/>
                <w:color w:val="000000"/>
                <w:sz w:val="22"/>
                <w:szCs w:val="22"/>
                <w:u w:val="single"/>
              </w:rPr>
            </w:pPr>
            <w:r w:rsidRPr="00687500">
              <w:rPr>
                <w:rFonts w:ascii="Tahoma" w:hAnsi="Tahoma" w:cs="Tahoma"/>
                <w:b/>
                <w:bCs/>
                <w:color w:val="000000"/>
                <w:sz w:val="22"/>
                <w:szCs w:val="22"/>
                <w:u w:val="single"/>
              </w:rPr>
              <w:t>RM'000</w:t>
            </w: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r>
      <w:tr w:rsidR="00615152" w:rsidRPr="00687500">
        <w:trPr>
          <w:trHeight w:val="300"/>
        </w:trPr>
        <w:tc>
          <w:tcPr>
            <w:tcW w:w="4859"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51"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432"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1475"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r>
      <w:tr w:rsidR="00615152" w:rsidRPr="00687500">
        <w:trPr>
          <w:trHeight w:val="300"/>
        </w:trPr>
        <w:tc>
          <w:tcPr>
            <w:tcW w:w="4859"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r w:rsidRPr="00687500">
              <w:rPr>
                <w:rFonts w:ascii="Tahoma" w:hAnsi="Tahoma" w:cs="Tahoma"/>
                <w:color w:val="000000"/>
                <w:sz w:val="22"/>
                <w:szCs w:val="22"/>
              </w:rPr>
              <w:t xml:space="preserve">Project revenue billed by </w:t>
            </w:r>
          </w:p>
        </w:tc>
        <w:tc>
          <w:tcPr>
            <w:tcW w:w="251"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432"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1475"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r>
      <w:tr w:rsidR="00615152" w:rsidRPr="00687500">
        <w:trPr>
          <w:trHeight w:val="300"/>
        </w:trPr>
        <w:tc>
          <w:tcPr>
            <w:tcW w:w="4859" w:type="dxa"/>
            <w:gridSpan w:val="2"/>
            <w:tcBorders>
              <w:top w:val="nil"/>
              <w:left w:val="nil"/>
              <w:bottom w:val="nil"/>
              <w:right w:val="nil"/>
            </w:tcBorders>
            <w:shd w:val="clear" w:color="auto" w:fill="auto"/>
            <w:noWrap/>
            <w:vAlign w:val="bottom"/>
          </w:tcPr>
          <w:p w:rsidR="00615152" w:rsidRPr="00687500" w:rsidRDefault="00615152" w:rsidP="00C72DBF">
            <w:pPr>
              <w:ind w:right="-5321"/>
              <w:jc w:val="both"/>
              <w:rPr>
                <w:rFonts w:ascii="Tahoma" w:hAnsi="Tahoma" w:cs="Tahoma"/>
                <w:color w:val="000000"/>
                <w:sz w:val="22"/>
                <w:szCs w:val="22"/>
              </w:rPr>
            </w:pPr>
            <w:r w:rsidRPr="00687500">
              <w:rPr>
                <w:rFonts w:ascii="Tahoma" w:hAnsi="Tahoma" w:cs="Tahoma"/>
                <w:color w:val="000000"/>
                <w:sz w:val="22"/>
                <w:szCs w:val="22"/>
              </w:rPr>
              <w:t xml:space="preserve"> Progressive </w:t>
            </w:r>
            <w:proofErr w:type="spellStart"/>
            <w:r w:rsidRPr="00687500">
              <w:rPr>
                <w:rFonts w:ascii="Tahoma" w:hAnsi="Tahoma" w:cs="Tahoma"/>
                <w:color w:val="000000"/>
                <w:sz w:val="22"/>
                <w:szCs w:val="22"/>
              </w:rPr>
              <w:t>Uni</w:t>
            </w:r>
            <w:proofErr w:type="spellEnd"/>
            <w:r w:rsidRPr="00687500">
              <w:rPr>
                <w:rFonts w:ascii="Tahoma" w:hAnsi="Tahoma" w:cs="Tahoma"/>
                <w:color w:val="000000"/>
                <w:sz w:val="22"/>
                <w:szCs w:val="22"/>
              </w:rPr>
              <w:t xml:space="preserve"> San (M) </w:t>
            </w:r>
            <w:proofErr w:type="spellStart"/>
            <w:r w:rsidRPr="00687500">
              <w:rPr>
                <w:rFonts w:ascii="Tahoma" w:hAnsi="Tahoma" w:cs="Tahoma"/>
                <w:color w:val="000000"/>
                <w:sz w:val="22"/>
                <w:szCs w:val="22"/>
              </w:rPr>
              <w:t>Sdn</w:t>
            </w:r>
            <w:proofErr w:type="spellEnd"/>
            <w:r w:rsidRPr="00687500">
              <w:rPr>
                <w:rFonts w:ascii="Tahoma" w:hAnsi="Tahoma" w:cs="Tahoma"/>
                <w:color w:val="000000"/>
                <w:sz w:val="22"/>
                <w:szCs w:val="22"/>
              </w:rPr>
              <w:t xml:space="preserve"> </w:t>
            </w:r>
          </w:p>
        </w:tc>
        <w:tc>
          <w:tcPr>
            <w:tcW w:w="251"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432"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1475"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r>
      <w:tr w:rsidR="003F088B" w:rsidRPr="00687500">
        <w:trPr>
          <w:trHeight w:val="300"/>
        </w:trPr>
        <w:tc>
          <w:tcPr>
            <w:tcW w:w="4859" w:type="dxa"/>
            <w:gridSpan w:val="2"/>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r w:rsidRPr="00687500">
              <w:rPr>
                <w:rFonts w:ascii="Tahoma" w:hAnsi="Tahoma" w:cs="Tahoma"/>
                <w:color w:val="000000"/>
                <w:sz w:val="22"/>
                <w:szCs w:val="22"/>
              </w:rPr>
              <w:t>Bhd</w:t>
            </w:r>
          </w:p>
        </w:tc>
        <w:tc>
          <w:tcPr>
            <w:tcW w:w="251"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432" w:type="dxa"/>
            <w:gridSpan w:val="2"/>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1475" w:type="dxa"/>
            <w:gridSpan w:val="2"/>
            <w:tcBorders>
              <w:top w:val="nil"/>
              <w:left w:val="nil"/>
              <w:bottom w:val="nil"/>
              <w:right w:val="nil"/>
            </w:tcBorders>
            <w:shd w:val="clear" w:color="auto" w:fill="auto"/>
            <w:noWrap/>
            <w:vAlign w:val="bottom"/>
          </w:tcPr>
          <w:p w:rsidR="003F088B" w:rsidRPr="00687500" w:rsidRDefault="003F088B" w:rsidP="003F088B">
            <w:pPr>
              <w:jc w:val="right"/>
              <w:rPr>
                <w:rFonts w:ascii="Tahoma" w:hAnsi="Tahoma" w:cs="Tahoma"/>
                <w:color w:val="000000"/>
                <w:sz w:val="22"/>
                <w:szCs w:val="22"/>
              </w:rPr>
            </w:pPr>
            <w:r w:rsidRPr="00687500">
              <w:rPr>
                <w:rFonts w:ascii="Tahoma" w:hAnsi="Tahoma" w:cs="Tahoma"/>
                <w:color w:val="000000"/>
                <w:sz w:val="22"/>
                <w:szCs w:val="22"/>
              </w:rPr>
              <w:t xml:space="preserve">    </w:t>
            </w:r>
            <w:r>
              <w:rPr>
                <w:rFonts w:ascii="Tahoma" w:hAnsi="Tahoma" w:cs="Tahoma"/>
                <w:color w:val="000000"/>
                <w:sz w:val="22"/>
                <w:szCs w:val="22"/>
              </w:rPr>
              <w:t>898</w:t>
            </w: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3F088B" w:rsidRPr="00687500" w:rsidRDefault="003F088B" w:rsidP="00B27ADC">
            <w:pPr>
              <w:jc w:val="right"/>
              <w:rPr>
                <w:rFonts w:ascii="Tahoma" w:hAnsi="Tahoma" w:cs="Tahoma"/>
                <w:color w:val="000000"/>
                <w:sz w:val="22"/>
                <w:szCs w:val="22"/>
              </w:rPr>
            </w:pPr>
            <w:r w:rsidRPr="00687500">
              <w:rPr>
                <w:rFonts w:ascii="Tahoma" w:hAnsi="Tahoma" w:cs="Tahoma"/>
                <w:color w:val="000000"/>
                <w:sz w:val="22"/>
                <w:szCs w:val="22"/>
              </w:rPr>
              <w:t xml:space="preserve">    </w:t>
            </w:r>
            <w:r>
              <w:rPr>
                <w:rFonts w:ascii="Tahoma" w:hAnsi="Tahoma" w:cs="Tahoma"/>
                <w:color w:val="000000"/>
                <w:sz w:val="22"/>
                <w:szCs w:val="22"/>
              </w:rPr>
              <w:t>898</w:t>
            </w: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r>
      <w:tr w:rsidR="003F088B" w:rsidRPr="00687500">
        <w:trPr>
          <w:trHeight w:val="300"/>
        </w:trPr>
        <w:tc>
          <w:tcPr>
            <w:tcW w:w="4859" w:type="dxa"/>
            <w:gridSpan w:val="2"/>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251"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432" w:type="dxa"/>
            <w:gridSpan w:val="2"/>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1475" w:type="dxa"/>
            <w:gridSpan w:val="2"/>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3F088B" w:rsidRPr="00687500" w:rsidRDefault="003F088B" w:rsidP="00B27ADC">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r>
      <w:tr w:rsidR="003F088B" w:rsidRPr="00687500">
        <w:trPr>
          <w:trHeight w:val="300"/>
        </w:trPr>
        <w:tc>
          <w:tcPr>
            <w:tcW w:w="4859" w:type="dxa"/>
            <w:gridSpan w:val="2"/>
            <w:tcBorders>
              <w:top w:val="nil"/>
              <w:left w:val="nil"/>
              <w:bottom w:val="nil"/>
              <w:right w:val="nil"/>
            </w:tcBorders>
            <w:shd w:val="clear" w:color="auto" w:fill="auto"/>
            <w:noWrap/>
            <w:vAlign w:val="bottom"/>
          </w:tcPr>
          <w:p w:rsidR="003F088B" w:rsidRPr="00687500" w:rsidRDefault="003F088B" w:rsidP="00C72DBF">
            <w:pPr>
              <w:ind w:right="-8048"/>
              <w:jc w:val="both"/>
              <w:rPr>
                <w:rFonts w:ascii="Tahoma" w:hAnsi="Tahoma" w:cs="Tahoma"/>
                <w:color w:val="000000"/>
                <w:sz w:val="22"/>
                <w:szCs w:val="22"/>
              </w:rPr>
            </w:pPr>
            <w:r w:rsidRPr="00687500">
              <w:rPr>
                <w:rFonts w:ascii="Tahoma" w:hAnsi="Tahoma" w:cs="Tahoma"/>
                <w:color w:val="000000"/>
                <w:sz w:val="22"/>
                <w:szCs w:val="22"/>
              </w:rPr>
              <w:t xml:space="preserve">Internal audit fee charged by  </w:t>
            </w:r>
          </w:p>
        </w:tc>
        <w:tc>
          <w:tcPr>
            <w:tcW w:w="251"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708" w:type="dxa"/>
            <w:gridSpan w:val="3"/>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1199"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3F088B" w:rsidRPr="00687500" w:rsidRDefault="003F088B" w:rsidP="00B27ADC">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r>
      <w:tr w:rsidR="003F088B" w:rsidRPr="00687500">
        <w:trPr>
          <w:trHeight w:val="300"/>
        </w:trPr>
        <w:tc>
          <w:tcPr>
            <w:tcW w:w="4859" w:type="dxa"/>
            <w:gridSpan w:val="2"/>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r w:rsidRPr="00687500">
              <w:rPr>
                <w:rFonts w:ascii="Tahoma" w:hAnsi="Tahoma" w:cs="Tahoma"/>
                <w:color w:val="000000"/>
                <w:sz w:val="22"/>
                <w:szCs w:val="22"/>
              </w:rPr>
              <w:t xml:space="preserve"> Progressive Impact Corp Bhd</w:t>
            </w:r>
          </w:p>
        </w:tc>
        <w:tc>
          <w:tcPr>
            <w:tcW w:w="251"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432" w:type="dxa"/>
            <w:gridSpan w:val="2"/>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1475" w:type="dxa"/>
            <w:gridSpan w:val="2"/>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r w:rsidRPr="00687500">
              <w:rPr>
                <w:rFonts w:ascii="Tahoma" w:hAnsi="Tahoma" w:cs="Tahoma"/>
                <w:color w:val="000000"/>
                <w:sz w:val="22"/>
                <w:szCs w:val="22"/>
              </w:rPr>
              <w:t xml:space="preserve">          8</w:t>
            </w: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3F088B" w:rsidRPr="00687500" w:rsidRDefault="003F088B" w:rsidP="00B27ADC">
            <w:pPr>
              <w:jc w:val="right"/>
              <w:rPr>
                <w:rFonts w:ascii="Tahoma" w:hAnsi="Tahoma" w:cs="Tahoma"/>
                <w:color w:val="000000"/>
                <w:sz w:val="22"/>
                <w:szCs w:val="22"/>
              </w:rPr>
            </w:pPr>
            <w:r w:rsidRPr="00687500">
              <w:rPr>
                <w:rFonts w:ascii="Tahoma" w:hAnsi="Tahoma" w:cs="Tahoma"/>
                <w:color w:val="000000"/>
                <w:sz w:val="22"/>
                <w:szCs w:val="22"/>
              </w:rPr>
              <w:t xml:space="preserve">          8</w:t>
            </w: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r>
      <w:tr w:rsidR="003F088B" w:rsidRPr="00687500">
        <w:trPr>
          <w:trHeight w:val="300"/>
        </w:trPr>
        <w:tc>
          <w:tcPr>
            <w:tcW w:w="4859" w:type="dxa"/>
            <w:gridSpan w:val="2"/>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251"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432" w:type="dxa"/>
            <w:gridSpan w:val="2"/>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1475" w:type="dxa"/>
            <w:gridSpan w:val="2"/>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3F088B" w:rsidRPr="00687500" w:rsidRDefault="003F088B" w:rsidP="00B27ADC">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r>
      <w:tr w:rsidR="003F088B" w:rsidRPr="00687500">
        <w:trPr>
          <w:trHeight w:val="300"/>
        </w:trPr>
        <w:tc>
          <w:tcPr>
            <w:tcW w:w="5326" w:type="dxa"/>
            <w:gridSpan w:val="4"/>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r w:rsidRPr="00687500">
              <w:rPr>
                <w:rFonts w:ascii="Tahoma" w:hAnsi="Tahoma" w:cs="Tahoma"/>
                <w:color w:val="000000"/>
                <w:sz w:val="22"/>
                <w:szCs w:val="22"/>
              </w:rPr>
              <w:t xml:space="preserve">Finance costs paid and payable to </w:t>
            </w:r>
          </w:p>
        </w:tc>
        <w:tc>
          <w:tcPr>
            <w:tcW w:w="1691" w:type="dxa"/>
            <w:gridSpan w:val="3"/>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B27ADC">
            <w:pPr>
              <w:jc w:val="right"/>
              <w:rPr>
                <w:rFonts w:ascii="Tahoma" w:hAnsi="Tahoma" w:cs="Tahoma"/>
                <w:color w:val="000000"/>
                <w:sz w:val="22"/>
                <w:szCs w:val="22"/>
              </w:rPr>
            </w:pPr>
          </w:p>
        </w:tc>
      </w:tr>
      <w:tr w:rsidR="003F088B" w:rsidRPr="00687500" w:rsidTr="00B27ADC">
        <w:trPr>
          <w:trHeight w:val="315"/>
        </w:trPr>
        <w:tc>
          <w:tcPr>
            <w:tcW w:w="2718" w:type="dxa"/>
            <w:tcBorders>
              <w:top w:val="nil"/>
              <w:left w:val="nil"/>
              <w:bottom w:val="nil"/>
              <w:right w:val="nil"/>
            </w:tcBorders>
            <w:shd w:val="clear" w:color="auto" w:fill="auto"/>
            <w:noWrap/>
            <w:vAlign w:val="bottom"/>
          </w:tcPr>
          <w:p w:rsidR="003F088B" w:rsidRPr="00687500" w:rsidRDefault="003F088B" w:rsidP="00C72DBF">
            <w:pPr>
              <w:ind w:right="-9831"/>
              <w:jc w:val="both"/>
              <w:rPr>
                <w:rFonts w:ascii="Tahoma" w:hAnsi="Tahoma" w:cs="Tahoma"/>
                <w:color w:val="000000"/>
                <w:sz w:val="22"/>
                <w:szCs w:val="22"/>
              </w:rPr>
            </w:pPr>
            <w:r w:rsidRPr="00687500">
              <w:rPr>
                <w:rFonts w:ascii="Tahoma" w:hAnsi="Tahoma" w:cs="Tahoma"/>
                <w:color w:val="000000"/>
                <w:sz w:val="22"/>
                <w:szCs w:val="22"/>
              </w:rPr>
              <w:lastRenderedPageBreak/>
              <w:t xml:space="preserve"> a director</w:t>
            </w:r>
          </w:p>
        </w:tc>
        <w:tc>
          <w:tcPr>
            <w:tcW w:w="2392" w:type="dxa"/>
            <w:gridSpan w:val="2"/>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432" w:type="dxa"/>
            <w:gridSpan w:val="2"/>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1475" w:type="dxa"/>
            <w:gridSpan w:val="2"/>
            <w:tcBorders>
              <w:top w:val="nil"/>
              <w:left w:val="nil"/>
              <w:bottom w:val="double" w:sz="6" w:space="0" w:color="auto"/>
              <w:right w:val="nil"/>
            </w:tcBorders>
            <w:shd w:val="clear" w:color="auto" w:fill="auto"/>
            <w:noWrap/>
            <w:vAlign w:val="center"/>
          </w:tcPr>
          <w:p w:rsidR="003F088B" w:rsidRPr="00687500" w:rsidRDefault="003F088B" w:rsidP="003F088B">
            <w:pPr>
              <w:jc w:val="right"/>
              <w:rPr>
                <w:rFonts w:ascii="Tahoma" w:hAnsi="Tahoma" w:cs="Tahoma"/>
                <w:color w:val="000000"/>
                <w:sz w:val="22"/>
                <w:szCs w:val="22"/>
              </w:rPr>
            </w:pPr>
            <w:r w:rsidRPr="00687500">
              <w:rPr>
                <w:rFonts w:ascii="Tahoma" w:hAnsi="Tahoma" w:cs="Tahoma"/>
                <w:color w:val="000000"/>
                <w:sz w:val="22"/>
                <w:szCs w:val="22"/>
              </w:rPr>
              <w:t>10</w:t>
            </w:r>
            <w:r>
              <w:rPr>
                <w:rFonts w:ascii="Tahoma" w:hAnsi="Tahoma" w:cs="Tahoma"/>
                <w:color w:val="000000"/>
                <w:sz w:val="22"/>
                <w:szCs w:val="22"/>
              </w:rPr>
              <w:t>8</w:t>
            </w: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F154E6">
            <w:pPr>
              <w:jc w:val="right"/>
              <w:rPr>
                <w:rFonts w:ascii="Tahoma" w:hAnsi="Tahoma" w:cs="Tahoma"/>
                <w:color w:val="000000"/>
                <w:sz w:val="22"/>
                <w:szCs w:val="22"/>
              </w:rPr>
            </w:pPr>
          </w:p>
        </w:tc>
        <w:tc>
          <w:tcPr>
            <w:tcW w:w="1475" w:type="dxa"/>
            <w:tcBorders>
              <w:top w:val="nil"/>
              <w:left w:val="nil"/>
              <w:bottom w:val="double" w:sz="6" w:space="0" w:color="auto"/>
              <w:right w:val="nil"/>
            </w:tcBorders>
            <w:shd w:val="clear" w:color="auto" w:fill="auto"/>
            <w:noWrap/>
            <w:vAlign w:val="center"/>
          </w:tcPr>
          <w:p w:rsidR="003F088B" w:rsidRPr="00687500" w:rsidRDefault="003F088B" w:rsidP="00B27ADC">
            <w:pPr>
              <w:jc w:val="right"/>
              <w:rPr>
                <w:rFonts w:ascii="Tahoma" w:hAnsi="Tahoma" w:cs="Tahoma"/>
                <w:color w:val="000000"/>
                <w:sz w:val="22"/>
                <w:szCs w:val="22"/>
              </w:rPr>
            </w:pPr>
            <w:r w:rsidRPr="00687500">
              <w:rPr>
                <w:rFonts w:ascii="Tahoma" w:hAnsi="Tahoma" w:cs="Tahoma"/>
                <w:color w:val="000000"/>
                <w:sz w:val="22"/>
                <w:szCs w:val="22"/>
              </w:rPr>
              <w:t>10</w:t>
            </w:r>
            <w:r>
              <w:rPr>
                <w:rFonts w:ascii="Tahoma" w:hAnsi="Tahoma" w:cs="Tahoma"/>
                <w:color w:val="000000"/>
                <w:sz w:val="22"/>
                <w:szCs w:val="22"/>
              </w:rPr>
              <w:t>8</w:t>
            </w: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3F088B" w:rsidRPr="00687500" w:rsidRDefault="003F088B" w:rsidP="00C72DBF">
            <w:pPr>
              <w:jc w:val="both"/>
              <w:rPr>
                <w:rFonts w:ascii="Tahoma" w:hAnsi="Tahoma" w:cs="Tahoma"/>
                <w:color w:val="000000"/>
                <w:sz w:val="22"/>
                <w:szCs w:val="22"/>
              </w:rPr>
            </w:pPr>
          </w:p>
        </w:tc>
      </w:tr>
      <w:tr w:rsidR="00615152" w:rsidRPr="00687500">
        <w:trPr>
          <w:trHeight w:val="315"/>
        </w:trPr>
        <w:tc>
          <w:tcPr>
            <w:tcW w:w="2718"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392"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432"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1475" w:type="dxa"/>
            <w:gridSpan w:val="2"/>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1475"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c>
          <w:tcPr>
            <w:tcW w:w="222" w:type="dxa"/>
            <w:tcBorders>
              <w:top w:val="nil"/>
              <w:left w:val="nil"/>
              <w:bottom w:val="nil"/>
              <w:right w:val="nil"/>
            </w:tcBorders>
            <w:shd w:val="clear" w:color="auto" w:fill="auto"/>
            <w:noWrap/>
            <w:vAlign w:val="bottom"/>
          </w:tcPr>
          <w:p w:rsidR="00615152" w:rsidRPr="00687500" w:rsidRDefault="00615152" w:rsidP="00C72DBF">
            <w:pPr>
              <w:jc w:val="both"/>
              <w:rPr>
                <w:rFonts w:ascii="Tahoma" w:hAnsi="Tahoma" w:cs="Tahoma"/>
                <w:color w:val="000000"/>
                <w:sz w:val="22"/>
                <w:szCs w:val="22"/>
              </w:rPr>
            </w:pPr>
          </w:p>
        </w:tc>
      </w:tr>
    </w:tbl>
    <w:p w:rsidR="00BC7B9E" w:rsidRPr="00687500" w:rsidRDefault="00B11D9F" w:rsidP="00C72DBF">
      <w:pPr>
        <w:pStyle w:val="BodyTextIndent2"/>
        <w:ind w:left="240"/>
        <w:rPr>
          <w:rFonts w:ascii="Tahoma" w:hAnsi="Tahoma" w:cs="Tahoma"/>
          <w:sz w:val="22"/>
          <w:szCs w:val="22"/>
        </w:rPr>
      </w:pPr>
      <w:r w:rsidRPr="00687500">
        <w:rPr>
          <w:rFonts w:ascii="Tahoma" w:hAnsi="Tahoma" w:cs="Tahoma"/>
          <w:sz w:val="22"/>
          <w:szCs w:val="22"/>
        </w:rPr>
        <w:t xml:space="preserve">Progressive </w:t>
      </w:r>
      <w:proofErr w:type="spellStart"/>
      <w:r w:rsidRPr="00687500">
        <w:rPr>
          <w:rFonts w:ascii="Tahoma" w:hAnsi="Tahoma" w:cs="Tahoma"/>
          <w:sz w:val="22"/>
          <w:szCs w:val="22"/>
        </w:rPr>
        <w:t>Uni</w:t>
      </w:r>
      <w:proofErr w:type="spellEnd"/>
      <w:r w:rsidRPr="00687500">
        <w:rPr>
          <w:rFonts w:ascii="Tahoma" w:hAnsi="Tahoma" w:cs="Tahoma"/>
          <w:sz w:val="22"/>
          <w:szCs w:val="22"/>
        </w:rPr>
        <w:t xml:space="preserve"> San (M) </w:t>
      </w:r>
      <w:proofErr w:type="spellStart"/>
      <w:r w:rsidRPr="00687500">
        <w:rPr>
          <w:rFonts w:ascii="Tahoma" w:hAnsi="Tahoma" w:cs="Tahoma"/>
          <w:sz w:val="22"/>
          <w:szCs w:val="22"/>
        </w:rPr>
        <w:t>Sdn</w:t>
      </w:r>
      <w:proofErr w:type="spellEnd"/>
      <w:r w:rsidRPr="00687500">
        <w:rPr>
          <w:rFonts w:ascii="Tahoma" w:hAnsi="Tahoma" w:cs="Tahoma"/>
          <w:sz w:val="22"/>
          <w:szCs w:val="22"/>
        </w:rPr>
        <w:t xml:space="preserve"> Bhd, a company incorporated in </w:t>
      </w:r>
      <w:smartTag w:uri="urn:schemas-microsoft-com:office:smarttags" w:element="country-region">
        <w:smartTag w:uri="urn:schemas-microsoft-com:office:smarttags" w:element="place">
          <w:r w:rsidRPr="00687500">
            <w:rPr>
              <w:rFonts w:ascii="Tahoma" w:hAnsi="Tahoma" w:cs="Tahoma"/>
              <w:sz w:val="22"/>
              <w:szCs w:val="22"/>
            </w:rPr>
            <w:t>Malaysia</w:t>
          </w:r>
        </w:smartTag>
      </w:smartTag>
      <w:r w:rsidRPr="00687500">
        <w:rPr>
          <w:rFonts w:ascii="Tahoma" w:hAnsi="Tahoma" w:cs="Tahoma"/>
          <w:sz w:val="22"/>
          <w:szCs w:val="22"/>
        </w:rPr>
        <w:t xml:space="preserve"> is one of the subsidiaries of Progressive Impact Corporation </w:t>
      </w:r>
      <w:proofErr w:type="spellStart"/>
      <w:r w:rsidRPr="00687500">
        <w:rPr>
          <w:rFonts w:ascii="Tahoma" w:hAnsi="Tahoma" w:cs="Tahoma"/>
          <w:sz w:val="22"/>
          <w:szCs w:val="22"/>
        </w:rPr>
        <w:t>Berhad</w:t>
      </w:r>
      <w:proofErr w:type="spellEnd"/>
      <w:r w:rsidRPr="00687500">
        <w:rPr>
          <w:rFonts w:ascii="Tahoma" w:hAnsi="Tahoma" w:cs="Tahoma"/>
          <w:sz w:val="22"/>
          <w:szCs w:val="22"/>
        </w:rPr>
        <w:t>, being the substantial shareholder of the Group.</w:t>
      </w:r>
    </w:p>
    <w:p w:rsidR="0014252B" w:rsidRPr="00687500" w:rsidRDefault="0014252B" w:rsidP="00C72DBF">
      <w:pPr>
        <w:pStyle w:val="BodyTextIndent2"/>
        <w:ind w:left="240"/>
        <w:rPr>
          <w:rFonts w:ascii="Tahoma" w:hAnsi="Tahoma" w:cs="Tahoma"/>
          <w:sz w:val="22"/>
          <w:szCs w:val="22"/>
        </w:rPr>
      </w:pPr>
    </w:p>
    <w:p w:rsidR="0014252B" w:rsidRDefault="0014252B" w:rsidP="00C72DBF">
      <w:pPr>
        <w:pStyle w:val="BodyTextIndent2"/>
        <w:ind w:left="240"/>
        <w:rPr>
          <w:rFonts w:ascii="Tahoma" w:hAnsi="Tahoma" w:cs="Tahoma"/>
          <w:sz w:val="22"/>
          <w:szCs w:val="22"/>
        </w:rPr>
      </w:pPr>
      <w:r w:rsidRPr="00687500">
        <w:rPr>
          <w:rFonts w:ascii="Tahoma" w:hAnsi="Tahoma" w:cs="Tahoma"/>
          <w:sz w:val="22"/>
          <w:szCs w:val="22"/>
        </w:rPr>
        <w:t>The transactions with this related party are conducted in accordance with the general mandate obtained from shareholders for recurrent related party transactions.</w:t>
      </w:r>
    </w:p>
    <w:p w:rsidR="00C72DBF" w:rsidRDefault="00C72DBF" w:rsidP="00C72DBF">
      <w:pPr>
        <w:pStyle w:val="BodyTextIndent2"/>
        <w:ind w:left="240"/>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REVIEW OF PERFORMANCE</w:t>
      </w:r>
    </w:p>
    <w:p w:rsidR="00291059" w:rsidRPr="00687500" w:rsidRDefault="00291059" w:rsidP="00C72DBF">
      <w:pPr>
        <w:ind w:left="360"/>
        <w:jc w:val="both"/>
        <w:rPr>
          <w:rFonts w:ascii="Tahoma" w:hAnsi="Tahoma" w:cs="Tahoma"/>
          <w:sz w:val="22"/>
          <w:szCs w:val="22"/>
        </w:rPr>
      </w:pPr>
    </w:p>
    <w:p w:rsidR="00291059" w:rsidRPr="00687500" w:rsidRDefault="00291059" w:rsidP="00C72DBF">
      <w:pPr>
        <w:ind w:left="360"/>
        <w:jc w:val="both"/>
        <w:rPr>
          <w:rFonts w:ascii="Tahoma" w:hAnsi="Tahoma" w:cs="Tahoma"/>
          <w:sz w:val="22"/>
          <w:szCs w:val="22"/>
        </w:rPr>
      </w:pPr>
      <w:r w:rsidRPr="00687500">
        <w:rPr>
          <w:rFonts w:ascii="Tahoma" w:hAnsi="Tahoma" w:cs="Tahoma"/>
          <w:sz w:val="22"/>
          <w:szCs w:val="22"/>
        </w:rPr>
        <w:t xml:space="preserve">For the quarter ended </w:t>
      </w:r>
      <w:r w:rsidR="003F088B" w:rsidRPr="00687500">
        <w:rPr>
          <w:rFonts w:ascii="Tahoma" w:hAnsi="Tahoma" w:cs="Tahoma"/>
          <w:sz w:val="22"/>
          <w:szCs w:val="22"/>
        </w:rPr>
        <w:t xml:space="preserve">31 </w:t>
      </w:r>
      <w:r w:rsidR="003F088B">
        <w:rPr>
          <w:rFonts w:ascii="Tahoma" w:hAnsi="Tahoma" w:cs="Tahoma"/>
          <w:sz w:val="22"/>
          <w:szCs w:val="22"/>
        </w:rPr>
        <w:t>March 2012</w:t>
      </w:r>
      <w:r w:rsidRPr="00687500">
        <w:rPr>
          <w:rFonts w:ascii="Tahoma" w:hAnsi="Tahoma" w:cs="Tahoma"/>
          <w:sz w:val="22"/>
          <w:szCs w:val="22"/>
        </w:rPr>
        <w:t>, the Group has recorded revenue of RM</w:t>
      </w:r>
      <w:r w:rsidR="00680B4E">
        <w:rPr>
          <w:rFonts w:ascii="Tahoma" w:hAnsi="Tahoma" w:cs="Tahoma"/>
          <w:sz w:val="22"/>
          <w:szCs w:val="22"/>
        </w:rPr>
        <w:t>4.317</w:t>
      </w:r>
      <w:r w:rsidRPr="00687500">
        <w:rPr>
          <w:rFonts w:ascii="Tahoma" w:hAnsi="Tahoma" w:cs="Tahoma"/>
          <w:sz w:val="22"/>
          <w:szCs w:val="22"/>
        </w:rPr>
        <w:t xml:space="preserve">million, which is approximately </w:t>
      </w:r>
      <w:r w:rsidR="00D070E5" w:rsidRPr="00687500">
        <w:rPr>
          <w:rFonts w:ascii="Tahoma" w:hAnsi="Tahoma" w:cs="Tahoma"/>
          <w:sz w:val="22"/>
          <w:szCs w:val="22"/>
        </w:rPr>
        <w:t>RM</w:t>
      </w:r>
      <w:r w:rsidR="00680B4E">
        <w:rPr>
          <w:rFonts w:ascii="Tahoma" w:hAnsi="Tahoma" w:cs="Tahoma"/>
          <w:sz w:val="22"/>
          <w:szCs w:val="22"/>
        </w:rPr>
        <w:t>1.477</w:t>
      </w:r>
      <w:r w:rsidR="009E667F" w:rsidRPr="00687500">
        <w:rPr>
          <w:rFonts w:ascii="Tahoma" w:hAnsi="Tahoma" w:cs="Tahoma"/>
          <w:sz w:val="22"/>
          <w:szCs w:val="22"/>
        </w:rPr>
        <w:t xml:space="preserve"> </w:t>
      </w:r>
      <w:r w:rsidRPr="00687500">
        <w:rPr>
          <w:rFonts w:ascii="Tahoma" w:hAnsi="Tahoma" w:cs="Tahoma"/>
          <w:sz w:val="22"/>
          <w:szCs w:val="22"/>
        </w:rPr>
        <w:t xml:space="preserve">million or </w:t>
      </w:r>
      <w:r w:rsidR="00680B4E">
        <w:rPr>
          <w:rFonts w:ascii="Tahoma" w:hAnsi="Tahoma" w:cs="Tahoma"/>
          <w:sz w:val="22"/>
          <w:szCs w:val="22"/>
        </w:rPr>
        <w:t>26</w:t>
      </w:r>
      <w:r w:rsidR="00903AC5" w:rsidRPr="00687500">
        <w:rPr>
          <w:rFonts w:ascii="Tahoma" w:hAnsi="Tahoma" w:cs="Tahoma"/>
          <w:sz w:val="22"/>
          <w:szCs w:val="22"/>
        </w:rPr>
        <w:t xml:space="preserve">% </w:t>
      </w:r>
      <w:r w:rsidR="001B78AB" w:rsidRPr="00687500">
        <w:rPr>
          <w:rFonts w:ascii="Tahoma" w:hAnsi="Tahoma" w:cs="Tahoma"/>
          <w:sz w:val="22"/>
          <w:szCs w:val="22"/>
        </w:rPr>
        <w:t>lower</w:t>
      </w:r>
      <w:r w:rsidRPr="00687500">
        <w:rPr>
          <w:rFonts w:ascii="Tahoma" w:hAnsi="Tahoma" w:cs="Tahoma"/>
          <w:sz w:val="22"/>
          <w:szCs w:val="22"/>
        </w:rPr>
        <w:t>, compared to previous year’s corresponding</w:t>
      </w:r>
      <w:r w:rsidR="000C3B10" w:rsidRPr="00687500">
        <w:rPr>
          <w:rFonts w:ascii="Tahoma" w:hAnsi="Tahoma" w:cs="Tahoma"/>
          <w:sz w:val="22"/>
          <w:szCs w:val="22"/>
        </w:rPr>
        <w:t xml:space="preserve"> quarter</w:t>
      </w:r>
      <w:r w:rsidR="00383A13" w:rsidRPr="00687500">
        <w:rPr>
          <w:rFonts w:ascii="Tahoma" w:hAnsi="Tahoma" w:cs="Tahoma"/>
          <w:sz w:val="22"/>
          <w:szCs w:val="22"/>
        </w:rPr>
        <w:t xml:space="preserve">. </w:t>
      </w:r>
      <w:r w:rsidR="0093104D" w:rsidRPr="00687500">
        <w:rPr>
          <w:rFonts w:ascii="Tahoma" w:hAnsi="Tahoma" w:cs="Tahoma"/>
          <w:sz w:val="22"/>
          <w:szCs w:val="22"/>
        </w:rPr>
        <w:t>Lower revenue mainly attributable by the Trading, Project &amp; Manufacturing division which has received lower demand in respect of the SATS products especially fro</w:t>
      </w:r>
      <w:r w:rsidR="00AD6530" w:rsidRPr="00687500">
        <w:rPr>
          <w:rFonts w:ascii="Tahoma" w:hAnsi="Tahoma" w:cs="Tahoma"/>
          <w:sz w:val="22"/>
          <w:szCs w:val="22"/>
        </w:rPr>
        <w:t>m the government body customers as well as no refurbishment job secured in Operation &amp; Maintenance division which the Group had in previous year’s corresponding quarter.</w:t>
      </w:r>
      <w:r w:rsidR="001A470F" w:rsidRPr="00687500">
        <w:rPr>
          <w:rFonts w:ascii="Tahoma" w:hAnsi="Tahoma" w:cs="Tahoma"/>
          <w:sz w:val="22"/>
          <w:szCs w:val="22"/>
        </w:rPr>
        <w:t xml:space="preserve"> </w:t>
      </w:r>
      <w:r w:rsidR="00680B4E">
        <w:rPr>
          <w:rFonts w:ascii="Tahoma" w:hAnsi="Tahoma" w:cs="Tahoma"/>
          <w:sz w:val="22"/>
          <w:szCs w:val="22"/>
        </w:rPr>
        <w:t>A loss contract in Solid Waste Management at Selangor area also contributing to the lower revenue recorded by the group.</w:t>
      </w:r>
    </w:p>
    <w:p w:rsidR="00291059" w:rsidRPr="00687500" w:rsidRDefault="00291059" w:rsidP="00C72DBF">
      <w:pPr>
        <w:pStyle w:val="BodyTextIndent2"/>
        <w:ind w:left="0"/>
        <w:rPr>
          <w:rFonts w:ascii="Tahoma" w:hAnsi="Tahoma" w:cs="Tahoma"/>
          <w:sz w:val="22"/>
          <w:szCs w:val="22"/>
        </w:rPr>
      </w:pPr>
    </w:p>
    <w:p w:rsidR="00465054" w:rsidRPr="00687500" w:rsidRDefault="00291059" w:rsidP="00C72DBF">
      <w:pPr>
        <w:pStyle w:val="BodyTextIndent2"/>
        <w:rPr>
          <w:rFonts w:ascii="Tahoma" w:hAnsi="Tahoma" w:cs="Tahoma"/>
          <w:sz w:val="22"/>
          <w:szCs w:val="22"/>
        </w:rPr>
      </w:pPr>
      <w:r w:rsidRPr="00687500">
        <w:rPr>
          <w:rFonts w:ascii="Tahoma" w:hAnsi="Tahoma" w:cs="Tahoma"/>
          <w:sz w:val="22"/>
          <w:szCs w:val="22"/>
        </w:rPr>
        <w:t xml:space="preserve">The Group recorded a </w:t>
      </w:r>
      <w:r w:rsidR="00427CAE" w:rsidRPr="00687500">
        <w:rPr>
          <w:rFonts w:ascii="Tahoma" w:hAnsi="Tahoma" w:cs="Tahoma"/>
          <w:sz w:val="22"/>
          <w:szCs w:val="22"/>
        </w:rPr>
        <w:t xml:space="preserve">pretax </w:t>
      </w:r>
      <w:r w:rsidR="00680B4E">
        <w:rPr>
          <w:rFonts w:ascii="Tahoma" w:hAnsi="Tahoma" w:cs="Tahoma"/>
          <w:sz w:val="22"/>
          <w:szCs w:val="22"/>
        </w:rPr>
        <w:t>loss</w:t>
      </w:r>
      <w:r w:rsidRPr="00687500">
        <w:rPr>
          <w:rFonts w:ascii="Tahoma" w:hAnsi="Tahoma" w:cs="Tahoma"/>
          <w:sz w:val="22"/>
          <w:szCs w:val="22"/>
        </w:rPr>
        <w:t xml:space="preserve"> of </w:t>
      </w:r>
      <w:r w:rsidR="00D070E5" w:rsidRPr="00687500">
        <w:rPr>
          <w:rFonts w:ascii="Tahoma" w:hAnsi="Tahoma" w:cs="Tahoma"/>
          <w:sz w:val="22"/>
          <w:szCs w:val="22"/>
        </w:rPr>
        <w:t>RM</w:t>
      </w:r>
      <w:r w:rsidR="00383A13" w:rsidRPr="00687500">
        <w:rPr>
          <w:rFonts w:ascii="Tahoma" w:hAnsi="Tahoma" w:cs="Tahoma"/>
          <w:sz w:val="22"/>
          <w:szCs w:val="22"/>
        </w:rPr>
        <w:t>0.</w:t>
      </w:r>
      <w:r w:rsidR="00680B4E">
        <w:rPr>
          <w:rFonts w:ascii="Tahoma" w:hAnsi="Tahoma" w:cs="Tahoma"/>
          <w:sz w:val="22"/>
          <w:szCs w:val="22"/>
        </w:rPr>
        <w:t>645</w:t>
      </w:r>
      <w:r w:rsidR="009E667F" w:rsidRPr="00687500">
        <w:rPr>
          <w:rFonts w:ascii="Tahoma" w:hAnsi="Tahoma" w:cs="Tahoma"/>
          <w:sz w:val="22"/>
          <w:szCs w:val="22"/>
        </w:rPr>
        <w:t xml:space="preserve"> </w:t>
      </w:r>
      <w:r w:rsidRPr="00687500">
        <w:rPr>
          <w:rFonts w:ascii="Tahoma" w:hAnsi="Tahoma" w:cs="Tahoma"/>
          <w:sz w:val="22"/>
          <w:szCs w:val="22"/>
        </w:rPr>
        <w:t xml:space="preserve">million against a pretax </w:t>
      </w:r>
      <w:r w:rsidR="00451554" w:rsidRPr="00687500">
        <w:rPr>
          <w:rFonts w:ascii="Tahoma" w:hAnsi="Tahoma" w:cs="Tahoma"/>
          <w:sz w:val="22"/>
          <w:szCs w:val="22"/>
        </w:rPr>
        <w:t>profit</w:t>
      </w:r>
      <w:r w:rsidRPr="00687500">
        <w:rPr>
          <w:rFonts w:ascii="Tahoma" w:hAnsi="Tahoma" w:cs="Tahoma"/>
          <w:sz w:val="22"/>
          <w:szCs w:val="22"/>
        </w:rPr>
        <w:t xml:space="preserve"> of RM</w:t>
      </w:r>
      <w:r w:rsidR="00680B4E">
        <w:rPr>
          <w:rFonts w:ascii="Tahoma" w:hAnsi="Tahoma" w:cs="Tahoma"/>
          <w:sz w:val="22"/>
          <w:szCs w:val="22"/>
        </w:rPr>
        <w:t>0.333</w:t>
      </w:r>
      <w:r w:rsidRPr="00687500">
        <w:rPr>
          <w:rFonts w:ascii="Tahoma" w:hAnsi="Tahoma" w:cs="Tahoma"/>
          <w:sz w:val="22"/>
          <w:szCs w:val="22"/>
        </w:rPr>
        <w:t xml:space="preserve"> million in previous year’s corresponding period.</w:t>
      </w:r>
      <w:r w:rsidR="00903AC5" w:rsidRPr="00687500">
        <w:rPr>
          <w:rFonts w:ascii="Tahoma" w:hAnsi="Tahoma" w:cs="Tahoma"/>
          <w:sz w:val="22"/>
          <w:szCs w:val="22"/>
        </w:rPr>
        <w:t xml:space="preserve"> </w:t>
      </w:r>
    </w:p>
    <w:p w:rsidR="00603CAC" w:rsidRPr="00687500" w:rsidRDefault="00603CAC" w:rsidP="00C72DBF">
      <w:pPr>
        <w:pStyle w:val="BodyTextIndent2"/>
        <w:ind w:left="0"/>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COMPARISON WITH PRECEDING QUARTER’S RESULTS</w:t>
      </w:r>
    </w:p>
    <w:p w:rsidR="00291059" w:rsidRPr="00687500" w:rsidRDefault="00291059" w:rsidP="00C72DBF">
      <w:pPr>
        <w:jc w:val="both"/>
        <w:rPr>
          <w:rFonts w:ascii="Tahoma" w:hAnsi="Tahoma" w:cs="Tahoma"/>
          <w:sz w:val="22"/>
          <w:szCs w:val="22"/>
        </w:rPr>
      </w:pPr>
    </w:p>
    <w:p w:rsidR="0077652C" w:rsidRPr="00687500" w:rsidRDefault="00876CBF" w:rsidP="005829CC">
      <w:pPr>
        <w:pStyle w:val="BodyTextIndent2"/>
        <w:rPr>
          <w:rFonts w:ascii="Tahoma" w:hAnsi="Tahoma" w:cs="Tahoma"/>
          <w:sz w:val="22"/>
          <w:szCs w:val="22"/>
        </w:rPr>
      </w:pPr>
      <w:r w:rsidRPr="00687500">
        <w:rPr>
          <w:rFonts w:ascii="Tahoma" w:hAnsi="Tahoma" w:cs="Tahoma"/>
          <w:sz w:val="22"/>
          <w:szCs w:val="22"/>
        </w:rPr>
        <w:t xml:space="preserve">The Group recorded </w:t>
      </w:r>
      <w:r w:rsidR="00976ED5" w:rsidRPr="00687500">
        <w:rPr>
          <w:rFonts w:ascii="Tahoma" w:hAnsi="Tahoma" w:cs="Tahoma"/>
          <w:sz w:val="22"/>
          <w:szCs w:val="22"/>
        </w:rPr>
        <w:t xml:space="preserve">sales </w:t>
      </w:r>
      <w:r w:rsidR="00291059" w:rsidRPr="00687500">
        <w:rPr>
          <w:rFonts w:ascii="Tahoma" w:hAnsi="Tahoma" w:cs="Tahoma"/>
          <w:sz w:val="22"/>
          <w:szCs w:val="22"/>
        </w:rPr>
        <w:t xml:space="preserve">revenue </w:t>
      </w:r>
      <w:r w:rsidR="001643C0" w:rsidRPr="00687500">
        <w:rPr>
          <w:rFonts w:ascii="Tahoma" w:hAnsi="Tahoma" w:cs="Tahoma"/>
          <w:sz w:val="22"/>
          <w:szCs w:val="22"/>
        </w:rPr>
        <w:t>of RM</w:t>
      </w:r>
      <w:r w:rsidR="005829CC">
        <w:rPr>
          <w:rFonts w:ascii="Tahoma" w:hAnsi="Tahoma" w:cs="Tahoma"/>
          <w:sz w:val="22"/>
          <w:szCs w:val="22"/>
        </w:rPr>
        <w:t xml:space="preserve">4.317 </w:t>
      </w:r>
      <w:r w:rsidRPr="00687500">
        <w:rPr>
          <w:rFonts w:ascii="Tahoma" w:hAnsi="Tahoma" w:cs="Tahoma"/>
          <w:sz w:val="22"/>
          <w:szCs w:val="22"/>
        </w:rPr>
        <w:t xml:space="preserve">million in the current quarter compared to </w:t>
      </w:r>
      <w:r w:rsidR="005829CC" w:rsidRPr="00687500">
        <w:rPr>
          <w:rFonts w:ascii="Tahoma" w:hAnsi="Tahoma" w:cs="Tahoma"/>
          <w:sz w:val="22"/>
          <w:szCs w:val="22"/>
        </w:rPr>
        <w:t xml:space="preserve">RM5.554 </w:t>
      </w:r>
      <w:r w:rsidR="00291059" w:rsidRPr="00687500">
        <w:rPr>
          <w:rFonts w:ascii="Tahoma" w:hAnsi="Tahoma" w:cs="Tahoma"/>
          <w:sz w:val="22"/>
          <w:szCs w:val="22"/>
        </w:rPr>
        <w:t>million in the</w:t>
      </w:r>
      <w:r w:rsidR="0051602A" w:rsidRPr="00687500">
        <w:rPr>
          <w:rFonts w:ascii="Tahoma" w:hAnsi="Tahoma" w:cs="Tahoma"/>
          <w:sz w:val="22"/>
          <w:szCs w:val="22"/>
        </w:rPr>
        <w:t xml:space="preserve"> </w:t>
      </w:r>
      <w:r w:rsidR="00291059" w:rsidRPr="00687500">
        <w:rPr>
          <w:rFonts w:ascii="Tahoma" w:hAnsi="Tahoma" w:cs="Tahoma"/>
          <w:sz w:val="22"/>
          <w:szCs w:val="22"/>
        </w:rPr>
        <w:t xml:space="preserve">preceding quarter ended </w:t>
      </w:r>
      <w:r w:rsidR="005829CC">
        <w:rPr>
          <w:rFonts w:ascii="Tahoma" w:hAnsi="Tahoma" w:cs="Tahoma"/>
          <w:sz w:val="22"/>
          <w:szCs w:val="22"/>
        </w:rPr>
        <w:t>31 December</w:t>
      </w:r>
      <w:r w:rsidR="00142710" w:rsidRPr="00687500">
        <w:rPr>
          <w:rFonts w:ascii="Tahoma" w:hAnsi="Tahoma" w:cs="Tahoma"/>
          <w:sz w:val="22"/>
          <w:szCs w:val="22"/>
        </w:rPr>
        <w:t xml:space="preserve"> 201</w:t>
      </w:r>
      <w:r w:rsidR="001A470F" w:rsidRPr="00687500">
        <w:rPr>
          <w:rFonts w:ascii="Tahoma" w:hAnsi="Tahoma" w:cs="Tahoma"/>
          <w:sz w:val="22"/>
          <w:szCs w:val="22"/>
        </w:rPr>
        <w:t>1</w:t>
      </w:r>
      <w:r w:rsidR="00291059" w:rsidRPr="00687500">
        <w:rPr>
          <w:rFonts w:ascii="Tahoma" w:hAnsi="Tahoma" w:cs="Tahoma"/>
          <w:sz w:val="22"/>
          <w:szCs w:val="22"/>
        </w:rPr>
        <w:t xml:space="preserve">. </w:t>
      </w:r>
      <w:r w:rsidR="00427CAE" w:rsidRPr="00687500">
        <w:rPr>
          <w:rFonts w:ascii="Tahoma" w:hAnsi="Tahoma" w:cs="Tahoma"/>
          <w:sz w:val="22"/>
          <w:szCs w:val="22"/>
        </w:rPr>
        <w:t xml:space="preserve">The Group recorded a pretax </w:t>
      </w:r>
      <w:r w:rsidR="005829CC">
        <w:rPr>
          <w:rFonts w:ascii="Tahoma" w:hAnsi="Tahoma" w:cs="Tahoma"/>
          <w:sz w:val="22"/>
          <w:szCs w:val="22"/>
        </w:rPr>
        <w:t>loss</w:t>
      </w:r>
      <w:r w:rsidR="00291059" w:rsidRPr="00687500">
        <w:rPr>
          <w:rFonts w:ascii="Tahoma" w:hAnsi="Tahoma" w:cs="Tahoma"/>
          <w:sz w:val="22"/>
          <w:szCs w:val="22"/>
        </w:rPr>
        <w:t xml:space="preserve"> of RM</w:t>
      </w:r>
      <w:r w:rsidR="00680B4E">
        <w:rPr>
          <w:rFonts w:ascii="Tahoma" w:hAnsi="Tahoma" w:cs="Tahoma"/>
          <w:sz w:val="22"/>
          <w:szCs w:val="22"/>
        </w:rPr>
        <w:t xml:space="preserve">0.645 </w:t>
      </w:r>
      <w:r w:rsidR="00C90E2F" w:rsidRPr="00687500">
        <w:rPr>
          <w:rFonts w:ascii="Tahoma" w:hAnsi="Tahoma" w:cs="Tahoma"/>
          <w:sz w:val="22"/>
          <w:szCs w:val="22"/>
        </w:rPr>
        <w:t>million</w:t>
      </w:r>
      <w:r w:rsidR="00291059" w:rsidRPr="00687500">
        <w:rPr>
          <w:rFonts w:ascii="Tahoma" w:hAnsi="Tahoma" w:cs="Tahoma"/>
          <w:sz w:val="22"/>
          <w:szCs w:val="22"/>
        </w:rPr>
        <w:t xml:space="preserve"> in the curre</w:t>
      </w:r>
      <w:r w:rsidR="004D1170" w:rsidRPr="00687500">
        <w:rPr>
          <w:rFonts w:ascii="Tahoma" w:hAnsi="Tahoma" w:cs="Tahoma"/>
          <w:sz w:val="22"/>
          <w:szCs w:val="22"/>
        </w:rPr>
        <w:t xml:space="preserve">nt quarter against a pretax </w:t>
      </w:r>
      <w:r w:rsidR="00680B4E">
        <w:rPr>
          <w:rFonts w:ascii="Tahoma" w:hAnsi="Tahoma" w:cs="Tahoma"/>
          <w:sz w:val="22"/>
          <w:szCs w:val="22"/>
        </w:rPr>
        <w:t>profit</w:t>
      </w:r>
      <w:r w:rsidR="00291059" w:rsidRPr="00687500">
        <w:rPr>
          <w:rFonts w:ascii="Tahoma" w:hAnsi="Tahoma" w:cs="Tahoma"/>
          <w:sz w:val="22"/>
          <w:szCs w:val="22"/>
        </w:rPr>
        <w:t xml:space="preserve"> of </w:t>
      </w:r>
      <w:r w:rsidR="005829CC" w:rsidRPr="00687500">
        <w:rPr>
          <w:rFonts w:ascii="Tahoma" w:hAnsi="Tahoma" w:cs="Tahoma"/>
          <w:sz w:val="22"/>
          <w:szCs w:val="22"/>
        </w:rPr>
        <w:t>RM0.</w:t>
      </w:r>
      <w:r w:rsidR="005C69F7">
        <w:rPr>
          <w:rFonts w:ascii="Tahoma" w:hAnsi="Tahoma" w:cs="Tahoma"/>
          <w:sz w:val="22"/>
          <w:szCs w:val="22"/>
        </w:rPr>
        <w:t>333</w:t>
      </w:r>
      <w:r w:rsidR="00611D17" w:rsidRPr="00687500">
        <w:rPr>
          <w:rFonts w:ascii="Tahoma" w:hAnsi="Tahoma" w:cs="Tahoma"/>
          <w:sz w:val="22"/>
          <w:szCs w:val="22"/>
        </w:rPr>
        <w:t xml:space="preserve"> </w:t>
      </w:r>
      <w:r w:rsidR="00291059" w:rsidRPr="00687500">
        <w:rPr>
          <w:rFonts w:ascii="Tahoma" w:hAnsi="Tahoma" w:cs="Tahoma"/>
          <w:sz w:val="22"/>
          <w:szCs w:val="22"/>
        </w:rPr>
        <w:t>million in the</w:t>
      </w:r>
      <w:r w:rsidR="0051602A" w:rsidRPr="00687500">
        <w:rPr>
          <w:rFonts w:ascii="Tahoma" w:hAnsi="Tahoma" w:cs="Tahoma"/>
          <w:sz w:val="22"/>
          <w:szCs w:val="22"/>
        </w:rPr>
        <w:t xml:space="preserve"> </w:t>
      </w:r>
      <w:r w:rsidR="00291059" w:rsidRPr="00687500">
        <w:rPr>
          <w:rFonts w:ascii="Tahoma" w:hAnsi="Tahoma" w:cs="Tahoma"/>
          <w:sz w:val="22"/>
          <w:szCs w:val="22"/>
        </w:rPr>
        <w:t>preceding quarter.</w:t>
      </w:r>
      <w:r w:rsidR="00EF5AC8" w:rsidRPr="00687500">
        <w:rPr>
          <w:rFonts w:ascii="Tahoma" w:hAnsi="Tahoma" w:cs="Tahoma"/>
          <w:sz w:val="22"/>
          <w:szCs w:val="22"/>
        </w:rPr>
        <w:t xml:space="preserve"> </w:t>
      </w:r>
    </w:p>
    <w:p w:rsidR="00DD3AB4" w:rsidRPr="00687500" w:rsidRDefault="00DD3AB4" w:rsidP="00C72DBF">
      <w:pPr>
        <w:pStyle w:val="BodyTextIndent2"/>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 xml:space="preserve">PROSPECTS IN THE </w:t>
      </w:r>
      <w:r w:rsidR="00CA73BB" w:rsidRPr="00687500">
        <w:rPr>
          <w:rFonts w:ascii="Tahoma" w:hAnsi="Tahoma" w:cs="Tahoma"/>
          <w:b/>
          <w:sz w:val="22"/>
          <w:szCs w:val="22"/>
        </w:rPr>
        <w:t xml:space="preserve">NEXT </w:t>
      </w:r>
      <w:r w:rsidRPr="00687500">
        <w:rPr>
          <w:rFonts w:ascii="Tahoma" w:hAnsi="Tahoma" w:cs="Tahoma"/>
          <w:b/>
          <w:sz w:val="22"/>
          <w:szCs w:val="22"/>
        </w:rPr>
        <w:t>FINANCIAL YEAR</w:t>
      </w:r>
    </w:p>
    <w:p w:rsidR="00DD3AB4" w:rsidRPr="00687500" w:rsidRDefault="00DD3AB4" w:rsidP="00C72DBF">
      <w:pPr>
        <w:pStyle w:val="BodyTextIndent2"/>
        <w:rPr>
          <w:rFonts w:ascii="Tahoma" w:hAnsi="Tahoma" w:cs="Tahoma"/>
          <w:sz w:val="22"/>
          <w:szCs w:val="22"/>
        </w:rPr>
      </w:pPr>
    </w:p>
    <w:p w:rsidR="001643C0" w:rsidRPr="00687500" w:rsidRDefault="00900B78" w:rsidP="00C72DBF">
      <w:pPr>
        <w:pStyle w:val="BodyTextIndent2"/>
        <w:rPr>
          <w:rFonts w:ascii="Tahoma" w:hAnsi="Tahoma" w:cs="Tahoma"/>
          <w:sz w:val="22"/>
          <w:szCs w:val="22"/>
        </w:rPr>
      </w:pPr>
      <w:r w:rsidRPr="00687500">
        <w:rPr>
          <w:rFonts w:ascii="Tahoma" w:hAnsi="Tahoma" w:cs="Tahoma"/>
          <w:sz w:val="22"/>
          <w:szCs w:val="22"/>
        </w:rPr>
        <w:t>The Group expects the sales and servicing of FRP tanks business segment</w:t>
      </w:r>
      <w:r w:rsidR="000442C3" w:rsidRPr="00687500">
        <w:rPr>
          <w:rFonts w:ascii="Tahoma" w:hAnsi="Tahoma" w:cs="Tahoma"/>
          <w:sz w:val="22"/>
          <w:szCs w:val="22"/>
        </w:rPr>
        <w:t xml:space="preserve"> as well as revenue from solid waste management </w:t>
      </w:r>
      <w:r w:rsidR="0051602A" w:rsidRPr="00687500">
        <w:rPr>
          <w:rFonts w:ascii="Tahoma" w:hAnsi="Tahoma" w:cs="Tahoma"/>
          <w:sz w:val="22"/>
          <w:szCs w:val="22"/>
        </w:rPr>
        <w:t xml:space="preserve">segment </w:t>
      </w:r>
      <w:r w:rsidRPr="00687500">
        <w:rPr>
          <w:rFonts w:ascii="Tahoma" w:hAnsi="Tahoma" w:cs="Tahoma"/>
          <w:sz w:val="22"/>
          <w:szCs w:val="22"/>
        </w:rPr>
        <w:t>to continue</w:t>
      </w:r>
      <w:r w:rsidR="000442C3" w:rsidRPr="00687500">
        <w:rPr>
          <w:rFonts w:ascii="Tahoma" w:hAnsi="Tahoma" w:cs="Tahoma"/>
          <w:sz w:val="22"/>
          <w:szCs w:val="22"/>
        </w:rPr>
        <w:t xml:space="preserve"> contributing significant results</w:t>
      </w:r>
      <w:r w:rsidRPr="00687500">
        <w:rPr>
          <w:rFonts w:ascii="Tahoma" w:hAnsi="Tahoma" w:cs="Tahoma"/>
          <w:sz w:val="22"/>
          <w:szCs w:val="22"/>
        </w:rPr>
        <w:t xml:space="preserve"> to the consolidated revenue of the </w:t>
      </w:r>
      <w:r w:rsidR="00611D17" w:rsidRPr="00687500">
        <w:rPr>
          <w:rFonts w:ascii="Tahoma" w:hAnsi="Tahoma" w:cs="Tahoma"/>
          <w:sz w:val="22"/>
          <w:szCs w:val="22"/>
        </w:rPr>
        <w:t>Group for</w:t>
      </w:r>
      <w:r w:rsidR="000C3B10" w:rsidRPr="00687500">
        <w:rPr>
          <w:rFonts w:ascii="Tahoma" w:hAnsi="Tahoma" w:cs="Tahoma"/>
          <w:sz w:val="22"/>
          <w:szCs w:val="22"/>
        </w:rPr>
        <w:t xml:space="preserve"> the </w:t>
      </w:r>
      <w:r w:rsidR="0019450C" w:rsidRPr="00687500">
        <w:rPr>
          <w:rFonts w:ascii="Tahoma" w:hAnsi="Tahoma" w:cs="Tahoma"/>
          <w:sz w:val="22"/>
          <w:szCs w:val="22"/>
        </w:rPr>
        <w:t>remaining quarters of the current</w:t>
      </w:r>
      <w:r w:rsidR="00CA73BB" w:rsidRPr="00687500">
        <w:rPr>
          <w:rFonts w:ascii="Tahoma" w:hAnsi="Tahoma" w:cs="Tahoma"/>
          <w:sz w:val="22"/>
          <w:szCs w:val="22"/>
        </w:rPr>
        <w:t xml:space="preserve"> financial year</w:t>
      </w:r>
      <w:r w:rsidRPr="00687500">
        <w:rPr>
          <w:rFonts w:ascii="Tahoma" w:hAnsi="Tahoma" w:cs="Tahoma"/>
          <w:sz w:val="22"/>
          <w:szCs w:val="22"/>
        </w:rPr>
        <w:t>.</w:t>
      </w:r>
    </w:p>
    <w:p w:rsidR="009335EF" w:rsidRPr="00687500" w:rsidRDefault="009335EF" w:rsidP="00C72DBF">
      <w:pPr>
        <w:pStyle w:val="BodyTextIndent2"/>
        <w:rPr>
          <w:rFonts w:ascii="Tahoma" w:hAnsi="Tahoma" w:cs="Tahoma"/>
          <w:sz w:val="22"/>
          <w:szCs w:val="22"/>
        </w:rPr>
      </w:pPr>
    </w:p>
    <w:p w:rsidR="0019450C" w:rsidRPr="00687500" w:rsidRDefault="0019450C" w:rsidP="00C72DBF">
      <w:pPr>
        <w:pStyle w:val="BodyTextIndent2"/>
        <w:rPr>
          <w:rFonts w:ascii="Tahoma" w:hAnsi="Tahoma" w:cs="Tahoma"/>
          <w:sz w:val="22"/>
          <w:szCs w:val="22"/>
        </w:rPr>
      </w:pPr>
    </w:p>
    <w:p w:rsidR="00291059" w:rsidRPr="00687500" w:rsidRDefault="0051602A" w:rsidP="00C72DBF">
      <w:pPr>
        <w:numPr>
          <w:ilvl w:val="0"/>
          <w:numId w:val="1"/>
        </w:numPr>
        <w:jc w:val="both"/>
        <w:rPr>
          <w:rFonts w:ascii="Tahoma" w:hAnsi="Tahoma" w:cs="Tahoma"/>
          <w:b/>
          <w:sz w:val="22"/>
          <w:szCs w:val="22"/>
        </w:rPr>
      </w:pPr>
      <w:r w:rsidRPr="00687500">
        <w:rPr>
          <w:rFonts w:ascii="Tahoma" w:hAnsi="Tahoma" w:cs="Tahoma"/>
          <w:b/>
          <w:sz w:val="22"/>
          <w:szCs w:val="22"/>
        </w:rPr>
        <w:t>VARIANCE OF ACTUAL AND</w:t>
      </w:r>
      <w:r w:rsidR="00291059" w:rsidRPr="00687500">
        <w:rPr>
          <w:rFonts w:ascii="Tahoma" w:hAnsi="Tahoma" w:cs="Tahoma"/>
          <w:b/>
          <w:sz w:val="22"/>
          <w:szCs w:val="22"/>
        </w:rPr>
        <w:t xml:space="preserve"> FORECAST PROFIT</w:t>
      </w:r>
    </w:p>
    <w:p w:rsidR="00291059" w:rsidRPr="00687500" w:rsidRDefault="00291059" w:rsidP="00C72DBF">
      <w:pPr>
        <w:jc w:val="both"/>
        <w:rPr>
          <w:rFonts w:ascii="Tahoma" w:hAnsi="Tahoma" w:cs="Tahoma"/>
          <w:sz w:val="22"/>
          <w:szCs w:val="22"/>
        </w:rPr>
      </w:pPr>
    </w:p>
    <w:p w:rsidR="003F4538" w:rsidRPr="00687500" w:rsidRDefault="00291059" w:rsidP="00C72DBF">
      <w:pPr>
        <w:ind w:left="360"/>
        <w:jc w:val="both"/>
        <w:rPr>
          <w:rFonts w:ascii="Tahoma" w:hAnsi="Tahoma" w:cs="Tahoma"/>
          <w:sz w:val="22"/>
          <w:szCs w:val="22"/>
        </w:rPr>
      </w:pPr>
      <w:r w:rsidRPr="00687500">
        <w:rPr>
          <w:rFonts w:ascii="Tahoma" w:hAnsi="Tahoma" w:cs="Tahoma"/>
          <w:sz w:val="22"/>
          <w:szCs w:val="22"/>
        </w:rPr>
        <w:t>Not Applicable.</w:t>
      </w:r>
    </w:p>
    <w:p w:rsidR="00577867" w:rsidRDefault="00577867" w:rsidP="00C72DBF">
      <w:pPr>
        <w:ind w:left="360"/>
        <w:jc w:val="both"/>
        <w:rPr>
          <w:rFonts w:ascii="Tahoma" w:hAnsi="Tahoma" w:cs="Tahoma"/>
          <w:sz w:val="22"/>
          <w:szCs w:val="22"/>
        </w:rPr>
      </w:pPr>
    </w:p>
    <w:p w:rsidR="006817B6" w:rsidRPr="00687500" w:rsidRDefault="006817B6" w:rsidP="00C72DBF">
      <w:pPr>
        <w:ind w:left="360"/>
        <w:jc w:val="both"/>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 xml:space="preserve">TAXATION </w:t>
      </w:r>
    </w:p>
    <w:p w:rsidR="004D1170" w:rsidRPr="00687500" w:rsidRDefault="004D1170" w:rsidP="00C72DBF">
      <w:pPr>
        <w:jc w:val="both"/>
        <w:rPr>
          <w:rFonts w:ascii="Tahoma" w:hAnsi="Tahoma" w:cs="Tahoma"/>
          <w:b/>
          <w:sz w:val="22"/>
          <w:szCs w:val="22"/>
        </w:rPr>
      </w:pPr>
    </w:p>
    <w:p w:rsidR="005C69F7" w:rsidRPr="00687500" w:rsidRDefault="005C69F7" w:rsidP="00C72DBF">
      <w:pPr>
        <w:ind w:left="360"/>
        <w:jc w:val="both"/>
        <w:rPr>
          <w:rFonts w:ascii="Tahoma" w:hAnsi="Tahoma" w:cs="Tahoma"/>
          <w:sz w:val="22"/>
          <w:szCs w:val="22"/>
        </w:rPr>
      </w:pPr>
      <w:r>
        <w:rPr>
          <w:rFonts w:ascii="Tahoma" w:hAnsi="Tahoma" w:cs="Tahoma"/>
          <w:sz w:val="22"/>
          <w:szCs w:val="22"/>
        </w:rPr>
        <w:t>There was no provision for taxation or adjustment of deferred taxation during the current financial quarter.</w:t>
      </w:r>
    </w:p>
    <w:p w:rsidR="00640882" w:rsidRDefault="00640882" w:rsidP="00C72DBF">
      <w:pPr>
        <w:ind w:left="360"/>
        <w:jc w:val="both"/>
        <w:rPr>
          <w:rFonts w:ascii="Tahoma" w:hAnsi="Tahoma" w:cs="Tahoma"/>
          <w:sz w:val="22"/>
          <w:szCs w:val="22"/>
        </w:rPr>
      </w:pPr>
    </w:p>
    <w:p w:rsidR="006817B6" w:rsidRPr="00687500" w:rsidRDefault="006817B6" w:rsidP="00C72DBF">
      <w:pPr>
        <w:ind w:left="360"/>
        <w:jc w:val="both"/>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lastRenderedPageBreak/>
        <w:t>UNQUOTED INVESTMENTS AND/OR PROPERTIES</w:t>
      </w:r>
    </w:p>
    <w:p w:rsidR="00291059" w:rsidRPr="00687500" w:rsidRDefault="00291059" w:rsidP="00C72DBF">
      <w:pPr>
        <w:jc w:val="both"/>
        <w:rPr>
          <w:rFonts w:ascii="Tahoma" w:hAnsi="Tahoma" w:cs="Tahoma"/>
          <w:sz w:val="22"/>
          <w:szCs w:val="22"/>
        </w:rPr>
      </w:pPr>
    </w:p>
    <w:p w:rsidR="00291059" w:rsidRPr="00687500" w:rsidRDefault="00291059" w:rsidP="00C72DBF">
      <w:pPr>
        <w:pStyle w:val="BodyTextIndent2"/>
        <w:rPr>
          <w:rFonts w:ascii="Tahoma" w:hAnsi="Tahoma" w:cs="Tahoma"/>
          <w:sz w:val="22"/>
          <w:szCs w:val="22"/>
        </w:rPr>
      </w:pPr>
      <w:r w:rsidRPr="00687500">
        <w:rPr>
          <w:rFonts w:ascii="Tahoma" w:hAnsi="Tahoma" w:cs="Tahoma"/>
          <w:sz w:val="22"/>
          <w:szCs w:val="22"/>
        </w:rPr>
        <w:t>There were no sales of unquoted investment and</w:t>
      </w:r>
      <w:r w:rsidR="0048011D" w:rsidRPr="00687500">
        <w:rPr>
          <w:rFonts w:ascii="Tahoma" w:hAnsi="Tahoma" w:cs="Tahoma"/>
          <w:sz w:val="22"/>
          <w:szCs w:val="22"/>
        </w:rPr>
        <w:t xml:space="preserve">/or </w:t>
      </w:r>
      <w:r w:rsidRPr="00687500">
        <w:rPr>
          <w:rFonts w:ascii="Tahoma" w:hAnsi="Tahoma" w:cs="Tahoma"/>
          <w:sz w:val="22"/>
          <w:szCs w:val="22"/>
        </w:rPr>
        <w:t>properties for the</w:t>
      </w:r>
      <w:r w:rsidR="00DC7E2A" w:rsidRPr="00687500">
        <w:rPr>
          <w:rFonts w:ascii="Tahoma" w:hAnsi="Tahoma" w:cs="Tahoma"/>
          <w:sz w:val="22"/>
          <w:szCs w:val="22"/>
        </w:rPr>
        <w:t xml:space="preserve"> current quarter under review and</w:t>
      </w:r>
      <w:r w:rsidRPr="00687500">
        <w:rPr>
          <w:rFonts w:ascii="Tahoma" w:hAnsi="Tahoma" w:cs="Tahoma"/>
          <w:sz w:val="22"/>
          <w:szCs w:val="22"/>
        </w:rPr>
        <w:t xml:space="preserve"> </w:t>
      </w:r>
      <w:r w:rsidR="00FD5C76" w:rsidRPr="00687500">
        <w:rPr>
          <w:rFonts w:ascii="Tahoma" w:hAnsi="Tahoma" w:cs="Tahoma"/>
          <w:sz w:val="22"/>
          <w:szCs w:val="22"/>
        </w:rPr>
        <w:t>financial year-to-date</w:t>
      </w:r>
      <w:r w:rsidR="008B4C5D" w:rsidRPr="00687500">
        <w:rPr>
          <w:rFonts w:ascii="Tahoma" w:hAnsi="Tahoma" w:cs="Tahoma"/>
          <w:sz w:val="22"/>
          <w:szCs w:val="22"/>
        </w:rPr>
        <w:t>.</w:t>
      </w:r>
    </w:p>
    <w:p w:rsidR="00291059" w:rsidRPr="00687500" w:rsidRDefault="00291059" w:rsidP="00C72DBF">
      <w:pPr>
        <w:pStyle w:val="BodyTextIndent2"/>
        <w:ind w:left="0"/>
        <w:rPr>
          <w:rFonts w:ascii="Tahoma" w:hAnsi="Tahoma" w:cs="Tahoma"/>
          <w:sz w:val="22"/>
          <w:szCs w:val="22"/>
        </w:rPr>
      </w:pPr>
    </w:p>
    <w:p w:rsidR="0019450C" w:rsidRPr="00687500" w:rsidRDefault="0019450C" w:rsidP="00C72DBF">
      <w:pPr>
        <w:pStyle w:val="BodyTextIndent2"/>
        <w:ind w:left="0"/>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QUOTED SECURITIES</w:t>
      </w:r>
    </w:p>
    <w:p w:rsidR="008538FC" w:rsidRPr="00687500" w:rsidRDefault="008538FC" w:rsidP="00C72DBF">
      <w:pPr>
        <w:pStyle w:val="BodyTextIndent3"/>
        <w:shd w:val="clear" w:color="auto" w:fill="auto"/>
        <w:rPr>
          <w:rFonts w:ascii="Tahoma" w:hAnsi="Tahoma" w:cs="Tahoma"/>
          <w:sz w:val="22"/>
          <w:szCs w:val="22"/>
        </w:rPr>
      </w:pPr>
    </w:p>
    <w:p w:rsidR="00291059" w:rsidRPr="00687500" w:rsidRDefault="00291059" w:rsidP="00C72DBF">
      <w:pPr>
        <w:pStyle w:val="BodyTextIndent3"/>
        <w:shd w:val="clear" w:color="auto" w:fill="auto"/>
        <w:rPr>
          <w:rFonts w:ascii="Tahoma" w:hAnsi="Tahoma" w:cs="Tahoma"/>
          <w:sz w:val="22"/>
          <w:szCs w:val="22"/>
        </w:rPr>
      </w:pPr>
      <w:r w:rsidRPr="00687500">
        <w:rPr>
          <w:rFonts w:ascii="Tahoma" w:hAnsi="Tahoma" w:cs="Tahoma"/>
          <w:sz w:val="22"/>
          <w:szCs w:val="22"/>
        </w:rPr>
        <w:t>There w</w:t>
      </w:r>
      <w:r w:rsidR="0019450C" w:rsidRPr="00687500">
        <w:rPr>
          <w:rFonts w:ascii="Tahoma" w:hAnsi="Tahoma" w:cs="Tahoma"/>
          <w:sz w:val="22"/>
          <w:szCs w:val="22"/>
        </w:rPr>
        <w:t xml:space="preserve">as </w:t>
      </w:r>
      <w:r w:rsidRPr="00687500">
        <w:rPr>
          <w:rFonts w:ascii="Tahoma" w:hAnsi="Tahoma" w:cs="Tahoma"/>
          <w:sz w:val="22"/>
          <w:szCs w:val="22"/>
        </w:rPr>
        <w:t>no</w:t>
      </w:r>
      <w:r w:rsidR="00FD5C76" w:rsidRPr="00687500">
        <w:rPr>
          <w:rFonts w:ascii="Tahoma" w:hAnsi="Tahoma" w:cs="Tahoma"/>
          <w:sz w:val="22"/>
          <w:szCs w:val="22"/>
        </w:rPr>
        <w:t xml:space="preserve"> purchase or disposal of</w:t>
      </w:r>
      <w:r w:rsidRPr="00687500">
        <w:rPr>
          <w:rFonts w:ascii="Tahoma" w:hAnsi="Tahoma" w:cs="Tahoma"/>
          <w:sz w:val="22"/>
          <w:szCs w:val="22"/>
        </w:rPr>
        <w:t xml:space="preserve"> quoted securities </w:t>
      </w:r>
      <w:r w:rsidR="00FD5C76" w:rsidRPr="00687500">
        <w:rPr>
          <w:rFonts w:ascii="Tahoma" w:hAnsi="Tahoma" w:cs="Tahoma"/>
          <w:sz w:val="22"/>
          <w:szCs w:val="22"/>
        </w:rPr>
        <w:t xml:space="preserve">for the current </w:t>
      </w:r>
      <w:r w:rsidRPr="00687500">
        <w:rPr>
          <w:rFonts w:ascii="Tahoma" w:hAnsi="Tahoma" w:cs="Tahoma"/>
          <w:sz w:val="22"/>
          <w:szCs w:val="22"/>
        </w:rPr>
        <w:t>quarter under review</w:t>
      </w:r>
      <w:r w:rsidR="000B2595" w:rsidRPr="00687500">
        <w:rPr>
          <w:rFonts w:ascii="Tahoma" w:hAnsi="Tahoma" w:cs="Tahoma"/>
          <w:sz w:val="22"/>
          <w:szCs w:val="22"/>
        </w:rPr>
        <w:t xml:space="preserve"> and financial year-</w:t>
      </w:r>
      <w:r w:rsidR="00FD5C76" w:rsidRPr="00687500">
        <w:rPr>
          <w:rFonts w:ascii="Tahoma" w:hAnsi="Tahoma" w:cs="Tahoma"/>
          <w:sz w:val="22"/>
          <w:szCs w:val="22"/>
        </w:rPr>
        <w:t>to</w:t>
      </w:r>
      <w:r w:rsidR="000B2595" w:rsidRPr="00687500">
        <w:rPr>
          <w:rFonts w:ascii="Tahoma" w:hAnsi="Tahoma" w:cs="Tahoma"/>
          <w:sz w:val="22"/>
          <w:szCs w:val="22"/>
        </w:rPr>
        <w:t>-</w:t>
      </w:r>
      <w:r w:rsidR="00FD5C76" w:rsidRPr="00687500">
        <w:rPr>
          <w:rFonts w:ascii="Tahoma" w:hAnsi="Tahoma" w:cs="Tahoma"/>
          <w:sz w:val="22"/>
          <w:szCs w:val="22"/>
        </w:rPr>
        <w:t>date</w:t>
      </w:r>
      <w:r w:rsidRPr="00687500">
        <w:rPr>
          <w:rFonts w:ascii="Tahoma" w:hAnsi="Tahoma" w:cs="Tahoma"/>
          <w:sz w:val="22"/>
          <w:szCs w:val="22"/>
        </w:rPr>
        <w:t>.</w:t>
      </w:r>
      <w:r w:rsidR="0019450C" w:rsidRPr="00687500">
        <w:rPr>
          <w:rFonts w:ascii="Tahoma" w:hAnsi="Tahoma" w:cs="Tahoma"/>
          <w:sz w:val="22"/>
          <w:szCs w:val="22"/>
        </w:rPr>
        <w:t xml:space="preserve"> There was no investment in quoted securities as at end of the current quarter under review.</w:t>
      </w:r>
    </w:p>
    <w:p w:rsidR="00B35282" w:rsidRPr="00687500" w:rsidRDefault="00B35282" w:rsidP="00C72DBF">
      <w:pPr>
        <w:jc w:val="both"/>
        <w:rPr>
          <w:rFonts w:ascii="Tahoma" w:hAnsi="Tahoma" w:cs="Tahoma"/>
          <w:sz w:val="22"/>
          <w:szCs w:val="22"/>
        </w:rPr>
      </w:pPr>
    </w:p>
    <w:p w:rsidR="00291059" w:rsidRPr="00687500" w:rsidRDefault="00291059" w:rsidP="00C72DBF">
      <w:pPr>
        <w:numPr>
          <w:ilvl w:val="0"/>
          <w:numId w:val="1"/>
        </w:numPr>
        <w:jc w:val="both"/>
        <w:rPr>
          <w:rFonts w:ascii="Tahoma" w:hAnsi="Tahoma" w:cs="Tahoma"/>
          <w:b/>
          <w:sz w:val="22"/>
          <w:szCs w:val="22"/>
        </w:rPr>
      </w:pPr>
      <w:r w:rsidRPr="00687500">
        <w:rPr>
          <w:rFonts w:ascii="Tahoma" w:hAnsi="Tahoma" w:cs="Tahoma"/>
          <w:b/>
          <w:sz w:val="22"/>
          <w:szCs w:val="22"/>
        </w:rPr>
        <w:t xml:space="preserve">CORPORATE </w:t>
      </w:r>
      <w:r w:rsidR="00FD5C76" w:rsidRPr="00687500">
        <w:rPr>
          <w:rFonts w:ascii="Tahoma" w:hAnsi="Tahoma" w:cs="Tahoma"/>
          <w:b/>
          <w:sz w:val="22"/>
          <w:szCs w:val="22"/>
        </w:rPr>
        <w:t>PROPOSALS</w:t>
      </w:r>
    </w:p>
    <w:p w:rsidR="00291059" w:rsidRPr="00687500" w:rsidRDefault="00291059" w:rsidP="00C72DBF">
      <w:pPr>
        <w:ind w:left="720"/>
        <w:jc w:val="both"/>
        <w:rPr>
          <w:rFonts w:ascii="Tahoma" w:hAnsi="Tahoma" w:cs="Tahoma"/>
          <w:sz w:val="22"/>
          <w:szCs w:val="22"/>
        </w:rPr>
      </w:pPr>
    </w:p>
    <w:p w:rsidR="005213E1" w:rsidRPr="001256BD" w:rsidRDefault="005213E1" w:rsidP="005213E1">
      <w:pPr>
        <w:pStyle w:val="Default"/>
        <w:numPr>
          <w:ilvl w:val="0"/>
          <w:numId w:val="42"/>
        </w:numPr>
        <w:jc w:val="both"/>
        <w:rPr>
          <w:rFonts w:ascii="Tahoma" w:hAnsi="Tahoma" w:cs="Tahoma"/>
          <w:b/>
          <w:sz w:val="22"/>
          <w:szCs w:val="22"/>
        </w:rPr>
      </w:pPr>
      <w:r w:rsidRPr="001256BD">
        <w:rPr>
          <w:rFonts w:ascii="Tahoma" w:hAnsi="Tahoma" w:cs="Tahoma"/>
          <w:b/>
          <w:sz w:val="22"/>
          <w:szCs w:val="22"/>
        </w:rPr>
        <w:t>PROPOSED CAPITAL REDUCTION OF THE ISSUED AND PAID-UP SHARE CAPITAL OF PJBUMI VIA THE CANCELLATION OF RM0.50 IN THE EXISTING PAR VALUE OF EACH ORDINARY SHARE OF RM1.00 EACH IN PJBUMI RESULTING IN A NEW PAR VALUE OF RM0.50 FOR EACH ORDINARY SHARE IN PJBUMI PURSUANT TO SECTION 64 OF THE COMPANIES ACT, 1965 AND PROPOSED AMENDMENTS TO THE MEMORANDUM AND ARTICLES OF ASSOCIATION OF PJBUMI</w:t>
      </w:r>
    </w:p>
    <w:p w:rsidR="005213E1" w:rsidRPr="005213E1" w:rsidRDefault="005213E1" w:rsidP="005213E1">
      <w:pPr>
        <w:pStyle w:val="Default"/>
        <w:ind w:left="360"/>
        <w:rPr>
          <w:rFonts w:ascii="Tahoma" w:hAnsi="Tahoma" w:cs="Tahoma"/>
          <w:sz w:val="22"/>
          <w:szCs w:val="22"/>
        </w:rPr>
      </w:pPr>
    </w:p>
    <w:p w:rsidR="005213E1" w:rsidRDefault="005213E1" w:rsidP="001256BD">
      <w:pPr>
        <w:autoSpaceDE w:val="0"/>
        <w:autoSpaceDN w:val="0"/>
        <w:adjustRightInd w:val="0"/>
        <w:ind w:left="720"/>
        <w:jc w:val="both"/>
        <w:rPr>
          <w:rFonts w:ascii="Tahoma" w:hAnsi="Tahoma" w:cs="Tahoma"/>
          <w:sz w:val="22"/>
          <w:szCs w:val="22"/>
        </w:rPr>
      </w:pPr>
      <w:r w:rsidRPr="005213E1">
        <w:rPr>
          <w:rFonts w:ascii="Tahoma" w:hAnsi="Tahoma" w:cs="Tahoma"/>
          <w:sz w:val="22"/>
          <w:szCs w:val="22"/>
        </w:rPr>
        <w:t>On 19</w:t>
      </w:r>
      <w:r w:rsidRPr="005213E1">
        <w:rPr>
          <w:rFonts w:ascii="Tahoma" w:hAnsi="Tahoma" w:cs="Tahoma"/>
          <w:sz w:val="22"/>
          <w:szCs w:val="22"/>
          <w:vertAlign w:val="superscript"/>
        </w:rPr>
        <w:t>th</w:t>
      </w:r>
      <w:r w:rsidRPr="005213E1">
        <w:rPr>
          <w:rFonts w:ascii="Tahoma" w:hAnsi="Tahoma" w:cs="Tahoma"/>
          <w:sz w:val="22"/>
          <w:szCs w:val="22"/>
        </w:rPr>
        <w:t xml:space="preserve"> April 2012, </w:t>
      </w:r>
      <w:r w:rsidR="0080012A">
        <w:rPr>
          <w:rFonts w:ascii="Tahoma" w:hAnsi="Tahoma" w:cs="Tahoma"/>
          <w:sz w:val="22"/>
          <w:szCs w:val="22"/>
        </w:rPr>
        <w:t>the company announced that t</w:t>
      </w:r>
      <w:r w:rsidRPr="005213E1">
        <w:rPr>
          <w:rFonts w:ascii="Tahoma" w:hAnsi="Tahoma" w:cs="Tahoma"/>
          <w:sz w:val="22"/>
          <w:szCs w:val="22"/>
        </w:rPr>
        <w:t xml:space="preserve">he Board of Directors of </w:t>
      </w:r>
      <w:r>
        <w:rPr>
          <w:rFonts w:ascii="Tahoma" w:hAnsi="Tahoma" w:cs="Tahoma"/>
          <w:sz w:val="22"/>
          <w:szCs w:val="22"/>
        </w:rPr>
        <w:t xml:space="preserve">the Company </w:t>
      </w:r>
      <w:r w:rsidRPr="005213E1">
        <w:rPr>
          <w:rFonts w:ascii="Tahoma" w:hAnsi="Tahoma" w:cs="Tahoma"/>
          <w:sz w:val="22"/>
          <w:szCs w:val="22"/>
        </w:rPr>
        <w:t>is</w:t>
      </w:r>
      <w:r w:rsidR="001256BD">
        <w:rPr>
          <w:rFonts w:ascii="Tahoma" w:hAnsi="Tahoma" w:cs="Tahoma"/>
          <w:sz w:val="22"/>
          <w:szCs w:val="22"/>
        </w:rPr>
        <w:t xml:space="preserve"> </w:t>
      </w:r>
      <w:r w:rsidRPr="005213E1">
        <w:rPr>
          <w:rFonts w:ascii="Tahoma" w:hAnsi="Tahoma" w:cs="Tahoma"/>
          <w:sz w:val="22"/>
          <w:szCs w:val="22"/>
        </w:rPr>
        <w:t>proposing to undertake the</w:t>
      </w:r>
      <w:r w:rsidR="001256BD">
        <w:rPr>
          <w:rFonts w:ascii="Tahoma" w:hAnsi="Tahoma" w:cs="Tahoma"/>
          <w:sz w:val="22"/>
          <w:szCs w:val="22"/>
        </w:rPr>
        <w:t xml:space="preserve"> </w:t>
      </w:r>
      <w:r w:rsidRPr="005213E1">
        <w:rPr>
          <w:rFonts w:ascii="Tahoma" w:hAnsi="Tahoma" w:cs="Tahoma"/>
          <w:sz w:val="22"/>
          <w:szCs w:val="22"/>
        </w:rPr>
        <w:t>following:-</w:t>
      </w:r>
    </w:p>
    <w:p w:rsidR="001256BD" w:rsidRPr="005213E1" w:rsidRDefault="001256BD" w:rsidP="001256BD">
      <w:pPr>
        <w:autoSpaceDE w:val="0"/>
        <w:autoSpaceDN w:val="0"/>
        <w:adjustRightInd w:val="0"/>
        <w:ind w:left="720"/>
        <w:jc w:val="both"/>
        <w:rPr>
          <w:rFonts w:ascii="Tahoma" w:hAnsi="Tahoma" w:cs="Tahoma"/>
          <w:sz w:val="22"/>
          <w:szCs w:val="22"/>
        </w:rPr>
      </w:pPr>
    </w:p>
    <w:p w:rsidR="005213E1" w:rsidRPr="005213E1" w:rsidRDefault="005213E1" w:rsidP="001256BD">
      <w:pPr>
        <w:autoSpaceDE w:val="0"/>
        <w:autoSpaceDN w:val="0"/>
        <w:adjustRightInd w:val="0"/>
        <w:ind w:left="1440" w:hanging="720"/>
        <w:jc w:val="both"/>
        <w:rPr>
          <w:rFonts w:ascii="Tahoma" w:hAnsi="Tahoma" w:cs="Tahoma"/>
          <w:sz w:val="22"/>
          <w:szCs w:val="22"/>
        </w:rPr>
      </w:pPr>
      <w:r w:rsidRPr="005213E1">
        <w:rPr>
          <w:rFonts w:ascii="Tahoma" w:hAnsi="Tahoma" w:cs="Tahoma"/>
          <w:sz w:val="22"/>
          <w:szCs w:val="22"/>
        </w:rPr>
        <w:t xml:space="preserve">(a) </w:t>
      </w:r>
      <w:r w:rsidR="001256BD">
        <w:rPr>
          <w:rFonts w:ascii="Tahoma" w:hAnsi="Tahoma" w:cs="Tahoma"/>
          <w:sz w:val="22"/>
          <w:szCs w:val="22"/>
        </w:rPr>
        <w:tab/>
      </w:r>
      <w:r w:rsidRPr="005213E1">
        <w:rPr>
          <w:rFonts w:ascii="Tahoma" w:hAnsi="Tahoma" w:cs="Tahoma"/>
          <w:sz w:val="22"/>
          <w:szCs w:val="22"/>
        </w:rPr>
        <w:t xml:space="preserve">Proposed capital reduction of the issued and paid-up share capital of </w:t>
      </w:r>
      <w:proofErr w:type="spellStart"/>
      <w:r w:rsidRPr="005213E1">
        <w:rPr>
          <w:rFonts w:ascii="Tahoma" w:hAnsi="Tahoma" w:cs="Tahoma"/>
          <w:sz w:val="22"/>
          <w:szCs w:val="22"/>
        </w:rPr>
        <w:t>PJBumi</w:t>
      </w:r>
      <w:proofErr w:type="spellEnd"/>
      <w:r w:rsidR="001256BD">
        <w:rPr>
          <w:rFonts w:ascii="Tahoma" w:hAnsi="Tahoma" w:cs="Tahoma"/>
          <w:sz w:val="22"/>
          <w:szCs w:val="22"/>
        </w:rPr>
        <w:t xml:space="preserve"> </w:t>
      </w:r>
      <w:r w:rsidRPr="005213E1">
        <w:rPr>
          <w:rFonts w:ascii="Tahoma" w:hAnsi="Tahoma" w:cs="Tahoma"/>
          <w:sz w:val="22"/>
          <w:szCs w:val="22"/>
        </w:rPr>
        <w:t>via the cancellation of RM0.50 in the existing par value of each ordinary share</w:t>
      </w:r>
      <w:r w:rsidR="001256BD">
        <w:rPr>
          <w:rFonts w:ascii="Tahoma" w:hAnsi="Tahoma" w:cs="Tahoma"/>
          <w:sz w:val="22"/>
          <w:szCs w:val="22"/>
        </w:rPr>
        <w:t xml:space="preserve"> </w:t>
      </w:r>
      <w:r w:rsidRPr="005213E1">
        <w:rPr>
          <w:rFonts w:ascii="Tahoma" w:hAnsi="Tahoma" w:cs="Tahoma"/>
          <w:sz w:val="22"/>
          <w:szCs w:val="22"/>
        </w:rPr>
        <w:t xml:space="preserve">of RM1.00 each in </w:t>
      </w:r>
      <w:proofErr w:type="spellStart"/>
      <w:r w:rsidRPr="005213E1">
        <w:rPr>
          <w:rFonts w:ascii="Tahoma" w:hAnsi="Tahoma" w:cs="Tahoma"/>
          <w:sz w:val="22"/>
          <w:szCs w:val="22"/>
        </w:rPr>
        <w:t>PJBumi</w:t>
      </w:r>
      <w:proofErr w:type="spellEnd"/>
      <w:r w:rsidRPr="005213E1">
        <w:rPr>
          <w:rFonts w:ascii="Tahoma" w:hAnsi="Tahoma" w:cs="Tahoma"/>
          <w:sz w:val="22"/>
          <w:szCs w:val="22"/>
        </w:rPr>
        <w:t xml:space="preserve"> resulting in a new par value of RM0.50 for each</w:t>
      </w:r>
      <w:r w:rsidR="001256BD">
        <w:rPr>
          <w:rFonts w:ascii="Tahoma" w:hAnsi="Tahoma" w:cs="Tahoma"/>
          <w:sz w:val="22"/>
          <w:szCs w:val="22"/>
        </w:rPr>
        <w:t xml:space="preserve"> </w:t>
      </w:r>
      <w:r w:rsidRPr="005213E1">
        <w:rPr>
          <w:rFonts w:ascii="Tahoma" w:hAnsi="Tahoma" w:cs="Tahoma"/>
          <w:sz w:val="22"/>
          <w:szCs w:val="22"/>
        </w:rPr>
        <w:t xml:space="preserve">ordinary share in </w:t>
      </w:r>
      <w:proofErr w:type="spellStart"/>
      <w:r w:rsidRPr="005213E1">
        <w:rPr>
          <w:rFonts w:ascii="Tahoma" w:hAnsi="Tahoma" w:cs="Tahoma"/>
          <w:sz w:val="22"/>
          <w:szCs w:val="22"/>
        </w:rPr>
        <w:t>PJBumi</w:t>
      </w:r>
      <w:proofErr w:type="spellEnd"/>
      <w:r w:rsidRPr="005213E1">
        <w:rPr>
          <w:rFonts w:ascii="Tahoma" w:hAnsi="Tahoma" w:cs="Tahoma"/>
          <w:sz w:val="22"/>
          <w:szCs w:val="22"/>
        </w:rPr>
        <w:t xml:space="preserve"> pursuant to Section 64 of the Companies Act, 1965</w:t>
      </w:r>
      <w:r w:rsidR="001256BD">
        <w:rPr>
          <w:rFonts w:ascii="Tahoma" w:hAnsi="Tahoma" w:cs="Tahoma"/>
          <w:sz w:val="22"/>
          <w:szCs w:val="22"/>
        </w:rPr>
        <w:t xml:space="preserve"> </w:t>
      </w:r>
      <w:r w:rsidRPr="005213E1">
        <w:rPr>
          <w:rFonts w:ascii="Tahoma" w:hAnsi="Tahoma" w:cs="Tahoma"/>
          <w:sz w:val="22"/>
          <w:szCs w:val="22"/>
        </w:rPr>
        <w:t>(“Act”); and</w:t>
      </w:r>
    </w:p>
    <w:p w:rsidR="005213E1" w:rsidRPr="005213E1" w:rsidRDefault="005213E1" w:rsidP="001256BD">
      <w:pPr>
        <w:autoSpaceDE w:val="0"/>
        <w:autoSpaceDN w:val="0"/>
        <w:adjustRightInd w:val="0"/>
        <w:ind w:left="1440" w:hanging="720"/>
        <w:jc w:val="both"/>
        <w:rPr>
          <w:rFonts w:ascii="Tahoma" w:hAnsi="Tahoma" w:cs="Tahoma"/>
          <w:sz w:val="22"/>
          <w:szCs w:val="22"/>
        </w:rPr>
      </w:pPr>
      <w:r w:rsidRPr="005213E1">
        <w:rPr>
          <w:rFonts w:ascii="Tahoma" w:hAnsi="Tahoma" w:cs="Tahoma"/>
          <w:sz w:val="22"/>
          <w:szCs w:val="22"/>
        </w:rPr>
        <w:t xml:space="preserve">(b) </w:t>
      </w:r>
      <w:r w:rsidR="001256BD">
        <w:rPr>
          <w:rFonts w:ascii="Tahoma" w:hAnsi="Tahoma" w:cs="Tahoma"/>
          <w:sz w:val="22"/>
          <w:szCs w:val="22"/>
        </w:rPr>
        <w:tab/>
      </w:r>
      <w:r w:rsidRPr="005213E1">
        <w:rPr>
          <w:rFonts w:ascii="Tahoma" w:hAnsi="Tahoma" w:cs="Tahoma"/>
          <w:sz w:val="22"/>
          <w:szCs w:val="22"/>
        </w:rPr>
        <w:t>Proposed amendments to the Memorandum &amp; Articles of Association</w:t>
      </w:r>
      <w:r w:rsidR="001256BD">
        <w:rPr>
          <w:rFonts w:ascii="Tahoma" w:hAnsi="Tahoma" w:cs="Tahoma"/>
          <w:sz w:val="22"/>
          <w:szCs w:val="22"/>
        </w:rPr>
        <w:t xml:space="preserve"> </w:t>
      </w:r>
      <w:r w:rsidRPr="005213E1">
        <w:rPr>
          <w:rFonts w:ascii="Tahoma" w:hAnsi="Tahoma" w:cs="Tahoma"/>
          <w:sz w:val="22"/>
          <w:szCs w:val="22"/>
        </w:rPr>
        <w:t xml:space="preserve">(“M&amp;A”) of </w:t>
      </w:r>
      <w:proofErr w:type="spellStart"/>
      <w:r w:rsidRPr="005213E1">
        <w:rPr>
          <w:rFonts w:ascii="Tahoma" w:hAnsi="Tahoma" w:cs="Tahoma"/>
          <w:sz w:val="22"/>
          <w:szCs w:val="22"/>
        </w:rPr>
        <w:t>PJBumi</w:t>
      </w:r>
      <w:proofErr w:type="spellEnd"/>
      <w:r w:rsidRPr="005213E1">
        <w:rPr>
          <w:rFonts w:ascii="Tahoma" w:hAnsi="Tahoma" w:cs="Tahoma"/>
          <w:sz w:val="22"/>
          <w:szCs w:val="22"/>
        </w:rPr>
        <w:t xml:space="preserve"> to facilitate the change in par value of the </w:t>
      </w:r>
      <w:proofErr w:type="spellStart"/>
      <w:r w:rsidRPr="005213E1">
        <w:rPr>
          <w:rFonts w:ascii="Tahoma" w:hAnsi="Tahoma" w:cs="Tahoma"/>
          <w:sz w:val="22"/>
          <w:szCs w:val="22"/>
        </w:rPr>
        <w:t>PJBumi</w:t>
      </w:r>
      <w:proofErr w:type="spellEnd"/>
      <w:r w:rsidRPr="005213E1">
        <w:rPr>
          <w:rFonts w:ascii="Tahoma" w:hAnsi="Tahoma" w:cs="Tahoma"/>
          <w:sz w:val="22"/>
          <w:szCs w:val="22"/>
        </w:rPr>
        <w:t xml:space="preserve"> shares</w:t>
      </w:r>
      <w:r w:rsidR="001256BD">
        <w:rPr>
          <w:rFonts w:ascii="Tahoma" w:hAnsi="Tahoma" w:cs="Tahoma"/>
          <w:sz w:val="22"/>
          <w:szCs w:val="22"/>
        </w:rPr>
        <w:t xml:space="preserve"> </w:t>
      </w:r>
      <w:r w:rsidRPr="005213E1">
        <w:rPr>
          <w:rFonts w:ascii="Tahoma" w:hAnsi="Tahoma" w:cs="Tahoma"/>
          <w:sz w:val="22"/>
          <w:szCs w:val="22"/>
        </w:rPr>
        <w:t>pursuant to the Proposed Capital Reduction.</w:t>
      </w:r>
    </w:p>
    <w:p w:rsidR="001256BD" w:rsidRDefault="001256BD" w:rsidP="005213E1">
      <w:pPr>
        <w:pStyle w:val="Default"/>
        <w:ind w:left="360"/>
        <w:rPr>
          <w:rFonts w:ascii="Tahoma" w:hAnsi="Tahoma" w:cs="Tahoma"/>
          <w:sz w:val="22"/>
          <w:szCs w:val="22"/>
        </w:rPr>
      </w:pPr>
    </w:p>
    <w:p w:rsidR="001256BD" w:rsidRPr="001256BD" w:rsidRDefault="001256BD" w:rsidP="001256BD">
      <w:pPr>
        <w:pStyle w:val="Default"/>
        <w:ind w:left="720" w:hanging="360"/>
        <w:jc w:val="both"/>
        <w:rPr>
          <w:rFonts w:ascii="Tahoma" w:hAnsi="Tahoma" w:cs="Tahoma"/>
          <w:b/>
          <w:sz w:val="22"/>
          <w:szCs w:val="22"/>
        </w:rPr>
      </w:pPr>
      <w:r w:rsidRPr="0014486C">
        <w:rPr>
          <w:rFonts w:ascii="Tahoma" w:hAnsi="Tahoma" w:cs="Tahoma"/>
          <w:b/>
          <w:sz w:val="22"/>
          <w:szCs w:val="22"/>
        </w:rPr>
        <w:t>ii)</w:t>
      </w:r>
      <w:r>
        <w:rPr>
          <w:rFonts w:ascii="Tahoma" w:hAnsi="Tahoma" w:cs="Tahoma"/>
          <w:sz w:val="22"/>
          <w:szCs w:val="22"/>
        </w:rPr>
        <w:t xml:space="preserve"> </w:t>
      </w:r>
      <w:r w:rsidRPr="001256BD">
        <w:rPr>
          <w:rFonts w:ascii="Tahoma" w:hAnsi="Tahoma" w:cs="Tahoma"/>
          <w:sz w:val="22"/>
          <w:szCs w:val="22"/>
        </w:rPr>
        <w:tab/>
      </w:r>
      <w:r w:rsidRPr="001256BD">
        <w:rPr>
          <w:rFonts w:ascii="Tahoma" w:hAnsi="Tahoma" w:cs="Tahoma"/>
          <w:b/>
          <w:sz w:val="22"/>
          <w:szCs w:val="22"/>
        </w:rPr>
        <w:t xml:space="preserve">PROPOSED RENEWAL OF SHAREHOLDERS' MANDATE AND PROPOSED NEW SHAREHOLDERS' MANDATE FOR RECURRENT RELATED PARTY TRANSACTIONS ("PROPOSED RRPT RENEWAL") </w:t>
      </w:r>
    </w:p>
    <w:p w:rsidR="001256BD" w:rsidRPr="001256BD" w:rsidRDefault="001256BD" w:rsidP="005213E1">
      <w:pPr>
        <w:pStyle w:val="Default"/>
        <w:ind w:left="360"/>
        <w:rPr>
          <w:rFonts w:ascii="Tahoma" w:hAnsi="Tahoma" w:cs="Tahoma"/>
          <w:sz w:val="22"/>
          <w:szCs w:val="22"/>
        </w:rPr>
      </w:pPr>
    </w:p>
    <w:p w:rsidR="005213E1" w:rsidRPr="001256BD" w:rsidRDefault="005213E1" w:rsidP="001256BD">
      <w:pPr>
        <w:pStyle w:val="Default"/>
        <w:ind w:left="720"/>
        <w:rPr>
          <w:rFonts w:ascii="Tahoma" w:hAnsi="Tahoma" w:cs="Tahoma"/>
          <w:sz w:val="22"/>
          <w:szCs w:val="22"/>
        </w:rPr>
      </w:pPr>
      <w:r w:rsidRPr="001256BD">
        <w:rPr>
          <w:rFonts w:ascii="Tahoma" w:hAnsi="Tahoma" w:cs="Tahoma"/>
          <w:sz w:val="22"/>
          <w:szCs w:val="22"/>
        </w:rPr>
        <w:t>On 23</w:t>
      </w:r>
      <w:r w:rsidRPr="001256BD">
        <w:rPr>
          <w:rFonts w:ascii="Tahoma" w:hAnsi="Tahoma" w:cs="Tahoma"/>
          <w:sz w:val="22"/>
          <w:szCs w:val="22"/>
          <w:vertAlign w:val="superscript"/>
        </w:rPr>
        <w:t>rd</w:t>
      </w:r>
      <w:r w:rsidRPr="001256BD">
        <w:rPr>
          <w:rFonts w:ascii="Tahoma" w:hAnsi="Tahoma" w:cs="Tahoma"/>
          <w:sz w:val="22"/>
          <w:szCs w:val="22"/>
        </w:rPr>
        <w:t xml:space="preserve"> April 2012, the company announced their intention to </w:t>
      </w:r>
      <w:r w:rsidR="001256BD" w:rsidRPr="001256BD">
        <w:rPr>
          <w:rFonts w:ascii="Tahoma" w:hAnsi="Tahoma" w:cs="Tahoma"/>
          <w:sz w:val="22"/>
          <w:szCs w:val="22"/>
        </w:rPr>
        <w:t>seek its shareholders' approval for the Proposed RRPT Renewal at the Company's forthcoming AGM.</w:t>
      </w:r>
    </w:p>
    <w:p w:rsidR="001256BD" w:rsidRPr="001256BD" w:rsidRDefault="001256BD" w:rsidP="001256BD">
      <w:pPr>
        <w:pStyle w:val="Default"/>
        <w:rPr>
          <w:rFonts w:ascii="Tahoma" w:hAnsi="Tahoma" w:cs="Tahoma"/>
          <w:sz w:val="22"/>
          <w:szCs w:val="22"/>
        </w:rPr>
      </w:pPr>
    </w:p>
    <w:p w:rsidR="001256BD" w:rsidRPr="001256BD" w:rsidRDefault="001256BD" w:rsidP="001256BD">
      <w:pPr>
        <w:pStyle w:val="Default"/>
        <w:ind w:left="720" w:hanging="360"/>
        <w:jc w:val="both"/>
        <w:rPr>
          <w:rFonts w:ascii="Tahoma" w:hAnsi="Tahoma" w:cs="Tahoma"/>
          <w:b/>
          <w:sz w:val="22"/>
          <w:szCs w:val="22"/>
        </w:rPr>
      </w:pPr>
      <w:r w:rsidRPr="0014486C">
        <w:rPr>
          <w:rFonts w:ascii="Tahoma" w:hAnsi="Tahoma" w:cs="Tahoma"/>
          <w:b/>
          <w:sz w:val="22"/>
          <w:szCs w:val="22"/>
        </w:rPr>
        <w:t>iii)</w:t>
      </w:r>
      <w:r w:rsidRPr="001256BD">
        <w:rPr>
          <w:rFonts w:ascii="Tahoma" w:hAnsi="Tahoma" w:cs="Tahoma"/>
          <w:sz w:val="22"/>
          <w:szCs w:val="22"/>
        </w:rPr>
        <w:tab/>
      </w:r>
      <w:r w:rsidRPr="001256BD">
        <w:rPr>
          <w:rFonts w:ascii="Tahoma" w:hAnsi="Tahoma" w:cs="Tahoma"/>
          <w:b/>
          <w:sz w:val="22"/>
          <w:szCs w:val="22"/>
        </w:rPr>
        <w:t>PROPOSED DISPOSAL OF 12,000,000 ORDINARY SHARES OF RM1.00 EACH REPRESENTING 15.79% EQUITY STAKE IN ALAM FLORA SDN BHD FOR A CASH CONSIDERATION OF RM20,400,000</w:t>
      </w:r>
    </w:p>
    <w:p w:rsidR="001256BD" w:rsidRPr="001256BD" w:rsidRDefault="001256BD" w:rsidP="001256BD">
      <w:pPr>
        <w:pStyle w:val="Default"/>
        <w:ind w:left="720" w:hanging="360"/>
        <w:rPr>
          <w:rFonts w:ascii="Tahoma" w:hAnsi="Tahoma" w:cs="Tahoma"/>
          <w:sz w:val="22"/>
          <w:szCs w:val="22"/>
        </w:rPr>
      </w:pPr>
    </w:p>
    <w:p w:rsidR="001256BD" w:rsidRPr="001256BD" w:rsidRDefault="001256BD" w:rsidP="001256BD">
      <w:pPr>
        <w:pStyle w:val="Default"/>
        <w:ind w:left="720" w:hanging="360"/>
        <w:jc w:val="both"/>
        <w:rPr>
          <w:rFonts w:ascii="Tahoma" w:hAnsi="Tahoma" w:cs="Tahoma"/>
          <w:sz w:val="22"/>
          <w:szCs w:val="22"/>
        </w:rPr>
      </w:pPr>
      <w:r w:rsidRPr="001256BD">
        <w:rPr>
          <w:rFonts w:ascii="Tahoma" w:hAnsi="Tahoma" w:cs="Tahoma"/>
          <w:sz w:val="22"/>
          <w:szCs w:val="22"/>
        </w:rPr>
        <w:tab/>
        <w:t>On 29</w:t>
      </w:r>
      <w:r w:rsidRPr="001256BD">
        <w:rPr>
          <w:rFonts w:ascii="Tahoma" w:hAnsi="Tahoma" w:cs="Tahoma"/>
          <w:sz w:val="22"/>
          <w:szCs w:val="22"/>
          <w:vertAlign w:val="superscript"/>
        </w:rPr>
        <w:t>th</w:t>
      </w:r>
      <w:r w:rsidR="0080012A">
        <w:rPr>
          <w:rFonts w:ascii="Tahoma" w:hAnsi="Tahoma" w:cs="Tahoma"/>
          <w:sz w:val="22"/>
          <w:szCs w:val="22"/>
        </w:rPr>
        <w:t xml:space="preserve"> May 2012, the c</w:t>
      </w:r>
      <w:r w:rsidRPr="001256BD">
        <w:rPr>
          <w:rFonts w:ascii="Tahoma" w:hAnsi="Tahoma" w:cs="Tahoma"/>
          <w:sz w:val="22"/>
          <w:szCs w:val="22"/>
        </w:rPr>
        <w:t xml:space="preserve">ompany announced that its wholly-owned subsidiary, </w:t>
      </w:r>
      <w:proofErr w:type="spellStart"/>
      <w:r w:rsidRPr="001256BD">
        <w:rPr>
          <w:rFonts w:ascii="Tahoma" w:hAnsi="Tahoma" w:cs="Tahoma"/>
          <w:sz w:val="22"/>
          <w:szCs w:val="22"/>
        </w:rPr>
        <w:t>PJBumi</w:t>
      </w:r>
      <w:proofErr w:type="spellEnd"/>
      <w:r w:rsidRPr="001256BD">
        <w:rPr>
          <w:rFonts w:ascii="Tahoma" w:hAnsi="Tahoma" w:cs="Tahoma"/>
          <w:sz w:val="22"/>
          <w:szCs w:val="22"/>
        </w:rPr>
        <w:t xml:space="preserve"> Waste Management </w:t>
      </w:r>
      <w:proofErr w:type="spellStart"/>
      <w:r w:rsidRPr="001256BD">
        <w:rPr>
          <w:rFonts w:ascii="Tahoma" w:hAnsi="Tahoma" w:cs="Tahoma"/>
          <w:sz w:val="22"/>
          <w:szCs w:val="22"/>
        </w:rPr>
        <w:t>Sdn</w:t>
      </w:r>
      <w:proofErr w:type="spellEnd"/>
      <w:r w:rsidRPr="001256BD">
        <w:rPr>
          <w:rFonts w:ascii="Tahoma" w:hAnsi="Tahoma" w:cs="Tahoma"/>
          <w:sz w:val="22"/>
          <w:szCs w:val="22"/>
        </w:rPr>
        <w:t xml:space="preserve"> </w:t>
      </w:r>
      <w:proofErr w:type="spellStart"/>
      <w:r w:rsidRPr="001256BD">
        <w:rPr>
          <w:rFonts w:ascii="Tahoma" w:hAnsi="Tahoma" w:cs="Tahoma"/>
          <w:sz w:val="22"/>
          <w:szCs w:val="22"/>
        </w:rPr>
        <w:t>Bhd</w:t>
      </w:r>
      <w:proofErr w:type="spellEnd"/>
      <w:r w:rsidRPr="001256BD">
        <w:rPr>
          <w:rFonts w:ascii="Tahoma" w:hAnsi="Tahoma" w:cs="Tahoma"/>
          <w:sz w:val="22"/>
          <w:szCs w:val="22"/>
        </w:rPr>
        <w:t xml:space="preserve"> had on 29 May 2012 entered into a conditional Share Sale Agreement with HICOM Holdings </w:t>
      </w:r>
      <w:proofErr w:type="spellStart"/>
      <w:r w:rsidRPr="001256BD">
        <w:rPr>
          <w:rFonts w:ascii="Tahoma" w:hAnsi="Tahoma" w:cs="Tahoma"/>
          <w:sz w:val="22"/>
          <w:szCs w:val="22"/>
        </w:rPr>
        <w:t>Berhad</w:t>
      </w:r>
      <w:proofErr w:type="spellEnd"/>
      <w:r w:rsidRPr="001256BD">
        <w:rPr>
          <w:rFonts w:ascii="Tahoma" w:hAnsi="Tahoma" w:cs="Tahoma"/>
          <w:sz w:val="22"/>
          <w:szCs w:val="22"/>
        </w:rPr>
        <w:t xml:space="preserve"> for the disposal of 12,000,000 ordinary shares of RM1.00 each </w:t>
      </w:r>
      <w:r w:rsidRPr="001256BD">
        <w:rPr>
          <w:rFonts w:ascii="Tahoma" w:hAnsi="Tahoma" w:cs="Tahoma"/>
          <w:sz w:val="22"/>
          <w:szCs w:val="22"/>
        </w:rPr>
        <w:lastRenderedPageBreak/>
        <w:t xml:space="preserve">representing 15.79% equity stake in </w:t>
      </w:r>
      <w:proofErr w:type="spellStart"/>
      <w:r w:rsidRPr="001256BD">
        <w:rPr>
          <w:rFonts w:ascii="Tahoma" w:hAnsi="Tahoma" w:cs="Tahoma"/>
          <w:sz w:val="22"/>
          <w:szCs w:val="22"/>
        </w:rPr>
        <w:t>Alam</w:t>
      </w:r>
      <w:proofErr w:type="spellEnd"/>
      <w:r w:rsidRPr="001256BD">
        <w:rPr>
          <w:rFonts w:ascii="Tahoma" w:hAnsi="Tahoma" w:cs="Tahoma"/>
          <w:sz w:val="22"/>
          <w:szCs w:val="22"/>
        </w:rPr>
        <w:t xml:space="preserve"> Flora </w:t>
      </w:r>
      <w:proofErr w:type="spellStart"/>
      <w:r w:rsidRPr="001256BD">
        <w:rPr>
          <w:rFonts w:ascii="Tahoma" w:hAnsi="Tahoma" w:cs="Tahoma"/>
          <w:sz w:val="22"/>
          <w:szCs w:val="22"/>
        </w:rPr>
        <w:t>Sdn</w:t>
      </w:r>
      <w:proofErr w:type="spellEnd"/>
      <w:r w:rsidRPr="001256BD">
        <w:rPr>
          <w:rFonts w:ascii="Tahoma" w:hAnsi="Tahoma" w:cs="Tahoma"/>
          <w:sz w:val="22"/>
          <w:szCs w:val="22"/>
        </w:rPr>
        <w:t xml:space="preserve"> </w:t>
      </w:r>
      <w:proofErr w:type="spellStart"/>
      <w:r w:rsidRPr="001256BD">
        <w:rPr>
          <w:rFonts w:ascii="Tahoma" w:hAnsi="Tahoma" w:cs="Tahoma"/>
          <w:sz w:val="22"/>
          <w:szCs w:val="22"/>
        </w:rPr>
        <w:t>Bhd</w:t>
      </w:r>
      <w:proofErr w:type="spellEnd"/>
      <w:r w:rsidRPr="001256BD">
        <w:rPr>
          <w:rFonts w:ascii="Tahoma" w:hAnsi="Tahoma" w:cs="Tahoma"/>
          <w:sz w:val="22"/>
          <w:szCs w:val="22"/>
        </w:rPr>
        <w:t xml:space="preserve"> for a cash consideration of RM20,400,000 ("Proposed Disposal").</w:t>
      </w:r>
    </w:p>
    <w:p w:rsidR="001256BD" w:rsidRPr="005213E1" w:rsidRDefault="001256BD" w:rsidP="001256BD">
      <w:pPr>
        <w:pStyle w:val="Default"/>
        <w:ind w:left="720"/>
        <w:rPr>
          <w:rFonts w:ascii="Tahoma" w:hAnsi="Tahoma" w:cs="Tahoma"/>
          <w:sz w:val="22"/>
          <w:szCs w:val="22"/>
        </w:rPr>
      </w:pPr>
    </w:p>
    <w:p w:rsidR="008B4C5D" w:rsidRPr="005213E1" w:rsidRDefault="008B4C5D" w:rsidP="00C72DBF">
      <w:pPr>
        <w:ind w:left="360"/>
        <w:jc w:val="both"/>
        <w:rPr>
          <w:rFonts w:ascii="Tahoma" w:hAnsi="Tahoma" w:cs="Tahoma"/>
          <w:sz w:val="22"/>
          <w:szCs w:val="22"/>
        </w:rPr>
      </w:pPr>
    </w:p>
    <w:p w:rsidR="00291059" w:rsidRPr="00687500" w:rsidRDefault="00291059" w:rsidP="005213E1">
      <w:pPr>
        <w:numPr>
          <w:ilvl w:val="0"/>
          <w:numId w:val="42"/>
        </w:numPr>
        <w:jc w:val="both"/>
        <w:rPr>
          <w:rFonts w:ascii="Tahoma" w:hAnsi="Tahoma" w:cs="Tahoma"/>
          <w:b/>
          <w:sz w:val="22"/>
          <w:szCs w:val="22"/>
        </w:rPr>
      </w:pPr>
      <w:r w:rsidRPr="00687500">
        <w:rPr>
          <w:rFonts w:ascii="Tahoma" w:hAnsi="Tahoma" w:cs="Tahoma"/>
          <w:b/>
          <w:sz w:val="22"/>
          <w:szCs w:val="22"/>
        </w:rPr>
        <w:t xml:space="preserve">BORROWINGS </w:t>
      </w:r>
    </w:p>
    <w:p w:rsidR="00291059" w:rsidRPr="00687500" w:rsidRDefault="00291059" w:rsidP="00C72DBF">
      <w:pPr>
        <w:ind w:left="360"/>
        <w:jc w:val="both"/>
        <w:rPr>
          <w:rFonts w:ascii="Tahoma" w:hAnsi="Tahoma" w:cs="Tahoma"/>
          <w:b/>
          <w:sz w:val="22"/>
          <w:szCs w:val="22"/>
        </w:rPr>
      </w:pPr>
    </w:p>
    <w:p w:rsidR="00252751" w:rsidRPr="00687500" w:rsidRDefault="00291059" w:rsidP="00C72DBF">
      <w:pPr>
        <w:ind w:left="360"/>
        <w:jc w:val="both"/>
        <w:rPr>
          <w:rFonts w:ascii="Tahoma" w:hAnsi="Tahoma" w:cs="Tahoma"/>
          <w:sz w:val="22"/>
          <w:szCs w:val="22"/>
        </w:rPr>
      </w:pPr>
      <w:r w:rsidRPr="00687500">
        <w:rPr>
          <w:rFonts w:ascii="Tahoma" w:hAnsi="Tahoma" w:cs="Tahoma"/>
          <w:sz w:val="22"/>
          <w:szCs w:val="22"/>
        </w:rPr>
        <w:t xml:space="preserve">As at </w:t>
      </w:r>
      <w:r w:rsidR="005829CC" w:rsidRPr="00687500">
        <w:rPr>
          <w:rFonts w:ascii="Tahoma" w:hAnsi="Tahoma" w:cs="Tahoma"/>
          <w:sz w:val="22"/>
          <w:szCs w:val="22"/>
        </w:rPr>
        <w:t xml:space="preserve">31 </w:t>
      </w:r>
      <w:r w:rsidR="005829CC">
        <w:rPr>
          <w:rFonts w:ascii="Tahoma" w:hAnsi="Tahoma" w:cs="Tahoma"/>
          <w:sz w:val="22"/>
          <w:szCs w:val="22"/>
        </w:rPr>
        <w:t>March 2012</w:t>
      </w:r>
      <w:r w:rsidRPr="00687500">
        <w:rPr>
          <w:rFonts w:ascii="Tahoma" w:hAnsi="Tahoma" w:cs="Tahoma"/>
          <w:sz w:val="22"/>
          <w:szCs w:val="22"/>
        </w:rPr>
        <w:t>, the Group has the following borrowings, which are denominated in Ringgit Malaysia from various local financial institutions:-</w:t>
      </w:r>
    </w:p>
    <w:p w:rsidR="00291059" w:rsidRPr="00687500" w:rsidRDefault="00291059" w:rsidP="00C72DBF">
      <w:pPr>
        <w:ind w:left="360"/>
        <w:jc w:val="both"/>
        <w:rPr>
          <w:rFonts w:ascii="Tahoma" w:hAnsi="Tahoma" w:cs="Tahoma"/>
          <w:sz w:val="22"/>
          <w:szCs w:val="22"/>
        </w:rPr>
      </w:pPr>
    </w:p>
    <w:tbl>
      <w:tblPr>
        <w:tblW w:w="0" w:type="auto"/>
        <w:tblInd w:w="468" w:type="dxa"/>
        <w:tblLook w:val="01E0"/>
      </w:tblPr>
      <w:tblGrid>
        <w:gridCol w:w="5877"/>
        <w:gridCol w:w="1140"/>
        <w:gridCol w:w="1124"/>
      </w:tblGrid>
      <w:tr w:rsidR="001F1B06" w:rsidRPr="00687500">
        <w:trPr>
          <w:gridBefore w:val="1"/>
          <w:wBefore w:w="5877" w:type="dxa"/>
          <w:tblHeader/>
        </w:trPr>
        <w:tc>
          <w:tcPr>
            <w:tcW w:w="1140" w:type="dxa"/>
          </w:tcPr>
          <w:p w:rsidR="001F1B06" w:rsidRPr="00687500" w:rsidRDefault="001F1B06" w:rsidP="00C72DBF">
            <w:pPr>
              <w:jc w:val="both"/>
              <w:rPr>
                <w:rFonts w:ascii="Tahoma" w:hAnsi="Tahoma" w:cs="Tahoma"/>
                <w:b/>
                <w:sz w:val="22"/>
                <w:szCs w:val="22"/>
              </w:rPr>
            </w:pPr>
            <w:r w:rsidRPr="00687500">
              <w:rPr>
                <w:rFonts w:ascii="Tahoma" w:hAnsi="Tahoma" w:cs="Tahoma"/>
                <w:b/>
                <w:sz w:val="22"/>
                <w:szCs w:val="22"/>
              </w:rPr>
              <w:t xml:space="preserve">     Secured</w:t>
            </w:r>
          </w:p>
        </w:tc>
        <w:tc>
          <w:tcPr>
            <w:tcW w:w="1124" w:type="dxa"/>
          </w:tcPr>
          <w:p w:rsidR="001F1B06" w:rsidRPr="00687500" w:rsidRDefault="001F1B06" w:rsidP="00C72DBF">
            <w:pPr>
              <w:jc w:val="both"/>
              <w:rPr>
                <w:rFonts w:ascii="Tahoma" w:hAnsi="Tahoma" w:cs="Tahoma"/>
                <w:b/>
                <w:sz w:val="22"/>
                <w:szCs w:val="22"/>
              </w:rPr>
            </w:pPr>
            <w:r w:rsidRPr="00687500">
              <w:rPr>
                <w:rFonts w:ascii="Tahoma" w:hAnsi="Tahoma" w:cs="Tahoma"/>
                <w:b/>
                <w:sz w:val="22"/>
                <w:szCs w:val="22"/>
              </w:rPr>
              <w:t xml:space="preserve">           Total</w:t>
            </w:r>
          </w:p>
        </w:tc>
      </w:tr>
      <w:tr w:rsidR="001F1B06" w:rsidRPr="00687500">
        <w:tblPrEx>
          <w:tblLook w:val="0000"/>
        </w:tblPrEx>
        <w:trPr>
          <w:cantSplit/>
          <w:tblHeader/>
        </w:trPr>
        <w:tc>
          <w:tcPr>
            <w:tcW w:w="5877" w:type="dxa"/>
          </w:tcPr>
          <w:p w:rsidR="001F1B06" w:rsidRPr="00687500" w:rsidRDefault="001F1B06" w:rsidP="00C72DBF">
            <w:pPr>
              <w:jc w:val="both"/>
              <w:rPr>
                <w:rFonts w:ascii="Tahoma" w:hAnsi="Tahoma" w:cs="Tahoma"/>
                <w:sz w:val="22"/>
                <w:szCs w:val="22"/>
                <w:highlight w:val="yellow"/>
              </w:rPr>
            </w:pPr>
          </w:p>
        </w:tc>
        <w:tc>
          <w:tcPr>
            <w:tcW w:w="1140" w:type="dxa"/>
          </w:tcPr>
          <w:p w:rsidR="001F1B06" w:rsidRPr="00687500" w:rsidRDefault="001F1B06" w:rsidP="00C72DBF">
            <w:pPr>
              <w:pStyle w:val="Heading6"/>
              <w:jc w:val="both"/>
              <w:rPr>
                <w:rFonts w:ascii="Tahoma" w:hAnsi="Tahoma" w:cs="Tahoma"/>
                <w:sz w:val="22"/>
                <w:szCs w:val="22"/>
              </w:rPr>
            </w:pPr>
            <w:r w:rsidRPr="00687500">
              <w:rPr>
                <w:rFonts w:ascii="Tahoma" w:hAnsi="Tahoma" w:cs="Tahoma"/>
                <w:sz w:val="22"/>
                <w:szCs w:val="22"/>
              </w:rPr>
              <w:t>RM’000</w:t>
            </w:r>
          </w:p>
        </w:tc>
        <w:tc>
          <w:tcPr>
            <w:tcW w:w="1124" w:type="dxa"/>
          </w:tcPr>
          <w:p w:rsidR="001F1B06" w:rsidRPr="00687500" w:rsidRDefault="001F1B06" w:rsidP="00C72DBF">
            <w:pPr>
              <w:pStyle w:val="Heading6"/>
              <w:jc w:val="both"/>
              <w:rPr>
                <w:rFonts w:ascii="Tahoma" w:hAnsi="Tahoma" w:cs="Tahoma"/>
                <w:sz w:val="22"/>
                <w:szCs w:val="22"/>
              </w:rPr>
            </w:pPr>
            <w:r w:rsidRPr="00687500">
              <w:rPr>
                <w:rFonts w:ascii="Tahoma" w:hAnsi="Tahoma" w:cs="Tahoma"/>
                <w:sz w:val="22"/>
                <w:szCs w:val="22"/>
              </w:rPr>
              <w:t>RM’000</w:t>
            </w:r>
          </w:p>
        </w:tc>
      </w:tr>
      <w:tr w:rsidR="001F1B06" w:rsidRPr="00687500">
        <w:tblPrEx>
          <w:tblLook w:val="0000"/>
        </w:tblPrEx>
        <w:tc>
          <w:tcPr>
            <w:tcW w:w="5877" w:type="dxa"/>
          </w:tcPr>
          <w:p w:rsidR="001F1B06" w:rsidRPr="00687500" w:rsidRDefault="001F1B06" w:rsidP="00C72DBF">
            <w:pPr>
              <w:pStyle w:val="Heading5"/>
              <w:rPr>
                <w:rFonts w:ascii="Tahoma" w:hAnsi="Tahoma" w:cs="Tahoma"/>
                <w:sz w:val="22"/>
                <w:szCs w:val="22"/>
              </w:rPr>
            </w:pPr>
          </w:p>
        </w:tc>
        <w:tc>
          <w:tcPr>
            <w:tcW w:w="1140" w:type="dxa"/>
          </w:tcPr>
          <w:p w:rsidR="001F1B06" w:rsidRPr="00687500" w:rsidRDefault="001F1B06" w:rsidP="00C72DBF">
            <w:pPr>
              <w:jc w:val="both"/>
              <w:rPr>
                <w:rFonts w:ascii="Tahoma" w:hAnsi="Tahoma" w:cs="Tahoma"/>
                <w:sz w:val="22"/>
                <w:szCs w:val="22"/>
              </w:rPr>
            </w:pPr>
          </w:p>
        </w:tc>
        <w:tc>
          <w:tcPr>
            <w:tcW w:w="1124" w:type="dxa"/>
          </w:tcPr>
          <w:p w:rsidR="001F1B06" w:rsidRPr="00687500" w:rsidRDefault="001F1B06" w:rsidP="00C72DBF">
            <w:pPr>
              <w:jc w:val="both"/>
              <w:rPr>
                <w:rFonts w:ascii="Tahoma" w:hAnsi="Tahoma" w:cs="Tahoma"/>
                <w:sz w:val="22"/>
                <w:szCs w:val="22"/>
              </w:rPr>
            </w:pPr>
          </w:p>
        </w:tc>
      </w:tr>
      <w:tr w:rsidR="001F1B06" w:rsidRPr="00687500">
        <w:tblPrEx>
          <w:tblLook w:val="0000"/>
        </w:tblPrEx>
        <w:tc>
          <w:tcPr>
            <w:tcW w:w="5877" w:type="dxa"/>
          </w:tcPr>
          <w:p w:rsidR="001F1B06" w:rsidRPr="00687500" w:rsidRDefault="001F1B06" w:rsidP="00C72DBF">
            <w:pPr>
              <w:pStyle w:val="Heading5"/>
              <w:rPr>
                <w:rFonts w:ascii="Tahoma" w:hAnsi="Tahoma" w:cs="Tahoma"/>
                <w:sz w:val="22"/>
                <w:szCs w:val="22"/>
              </w:rPr>
            </w:pPr>
            <w:r w:rsidRPr="00687500">
              <w:rPr>
                <w:rFonts w:ascii="Tahoma" w:hAnsi="Tahoma" w:cs="Tahoma"/>
                <w:sz w:val="22"/>
                <w:szCs w:val="22"/>
              </w:rPr>
              <w:t>Long Term Borrowings</w:t>
            </w:r>
          </w:p>
        </w:tc>
        <w:tc>
          <w:tcPr>
            <w:tcW w:w="1140" w:type="dxa"/>
          </w:tcPr>
          <w:p w:rsidR="001F1B06" w:rsidRPr="00687500" w:rsidRDefault="001F1B06" w:rsidP="00F154E6">
            <w:pPr>
              <w:jc w:val="right"/>
              <w:rPr>
                <w:rFonts w:ascii="Tahoma" w:hAnsi="Tahoma" w:cs="Tahoma"/>
                <w:sz w:val="22"/>
                <w:szCs w:val="22"/>
              </w:rPr>
            </w:pPr>
          </w:p>
        </w:tc>
        <w:tc>
          <w:tcPr>
            <w:tcW w:w="1124" w:type="dxa"/>
          </w:tcPr>
          <w:p w:rsidR="001F1B06" w:rsidRPr="00687500" w:rsidRDefault="001F1B06" w:rsidP="00F154E6">
            <w:pPr>
              <w:jc w:val="right"/>
              <w:rPr>
                <w:rFonts w:ascii="Tahoma" w:hAnsi="Tahoma" w:cs="Tahoma"/>
                <w:sz w:val="22"/>
                <w:szCs w:val="22"/>
              </w:rPr>
            </w:pPr>
          </w:p>
        </w:tc>
      </w:tr>
      <w:tr w:rsidR="001F1B06" w:rsidRPr="00687500">
        <w:tblPrEx>
          <w:tblLook w:val="0000"/>
        </w:tblPrEx>
        <w:tc>
          <w:tcPr>
            <w:tcW w:w="5877" w:type="dxa"/>
          </w:tcPr>
          <w:p w:rsidR="001F1B06" w:rsidRPr="00687500" w:rsidRDefault="001F1B06" w:rsidP="00C72DBF">
            <w:pPr>
              <w:jc w:val="both"/>
              <w:rPr>
                <w:rFonts w:ascii="Tahoma" w:hAnsi="Tahoma" w:cs="Tahoma"/>
                <w:sz w:val="22"/>
                <w:szCs w:val="22"/>
              </w:rPr>
            </w:pPr>
            <w:r w:rsidRPr="00687500">
              <w:rPr>
                <w:rFonts w:ascii="Tahoma" w:hAnsi="Tahoma" w:cs="Tahoma"/>
                <w:sz w:val="22"/>
                <w:szCs w:val="22"/>
              </w:rPr>
              <w:t>Restructured Loans</w:t>
            </w:r>
          </w:p>
        </w:tc>
        <w:tc>
          <w:tcPr>
            <w:tcW w:w="1140" w:type="dxa"/>
          </w:tcPr>
          <w:p w:rsidR="001F1B06" w:rsidRPr="00687500" w:rsidRDefault="001F1B06" w:rsidP="005829CC">
            <w:pPr>
              <w:jc w:val="right"/>
              <w:rPr>
                <w:rFonts w:ascii="Tahoma" w:hAnsi="Tahoma" w:cs="Tahoma"/>
                <w:sz w:val="22"/>
                <w:szCs w:val="22"/>
              </w:rPr>
            </w:pPr>
            <w:r w:rsidRPr="00687500">
              <w:rPr>
                <w:rFonts w:ascii="Tahoma" w:hAnsi="Tahoma" w:cs="Tahoma"/>
                <w:sz w:val="22"/>
                <w:szCs w:val="22"/>
              </w:rPr>
              <w:t>10,5</w:t>
            </w:r>
            <w:r w:rsidR="005829CC">
              <w:rPr>
                <w:rFonts w:ascii="Tahoma" w:hAnsi="Tahoma" w:cs="Tahoma"/>
                <w:sz w:val="22"/>
                <w:szCs w:val="22"/>
              </w:rPr>
              <w:t>42</w:t>
            </w:r>
          </w:p>
        </w:tc>
        <w:tc>
          <w:tcPr>
            <w:tcW w:w="1124" w:type="dxa"/>
          </w:tcPr>
          <w:p w:rsidR="001F1B06" w:rsidRPr="00687500" w:rsidRDefault="005829CC" w:rsidP="00F154E6">
            <w:pPr>
              <w:jc w:val="right"/>
              <w:rPr>
                <w:rFonts w:ascii="Tahoma" w:hAnsi="Tahoma" w:cs="Tahoma"/>
                <w:sz w:val="22"/>
                <w:szCs w:val="22"/>
              </w:rPr>
            </w:pPr>
            <w:r w:rsidRPr="00687500">
              <w:rPr>
                <w:rFonts w:ascii="Tahoma" w:hAnsi="Tahoma" w:cs="Tahoma"/>
                <w:sz w:val="22"/>
                <w:szCs w:val="22"/>
              </w:rPr>
              <w:t>10,5</w:t>
            </w:r>
            <w:r>
              <w:rPr>
                <w:rFonts w:ascii="Tahoma" w:hAnsi="Tahoma" w:cs="Tahoma"/>
                <w:sz w:val="22"/>
                <w:szCs w:val="22"/>
              </w:rPr>
              <w:t>42</w:t>
            </w:r>
          </w:p>
        </w:tc>
      </w:tr>
      <w:tr w:rsidR="001F1B06" w:rsidRPr="00687500">
        <w:tblPrEx>
          <w:tblLook w:val="0000"/>
        </w:tblPrEx>
        <w:tc>
          <w:tcPr>
            <w:tcW w:w="5877" w:type="dxa"/>
          </w:tcPr>
          <w:p w:rsidR="001F1B06" w:rsidRPr="00687500" w:rsidRDefault="001F1B06" w:rsidP="00C72DBF">
            <w:pPr>
              <w:jc w:val="both"/>
              <w:rPr>
                <w:rFonts w:ascii="Tahoma" w:hAnsi="Tahoma" w:cs="Tahoma"/>
                <w:sz w:val="22"/>
                <w:szCs w:val="22"/>
              </w:rPr>
            </w:pPr>
          </w:p>
        </w:tc>
        <w:tc>
          <w:tcPr>
            <w:tcW w:w="1140" w:type="dxa"/>
            <w:tcBorders>
              <w:top w:val="single" w:sz="4" w:space="0" w:color="auto"/>
              <w:bottom w:val="double" w:sz="4" w:space="0" w:color="auto"/>
            </w:tcBorders>
          </w:tcPr>
          <w:p w:rsidR="001F1B06" w:rsidRPr="00687500" w:rsidRDefault="001F1B06" w:rsidP="005829CC">
            <w:pPr>
              <w:jc w:val="right"/>
              <w:rPr>
                <w:rFonts w:ascii="Tahoma" w:hAnsi="Tahoma" w:cs="Tahoma"/>
                <w:sz w:val="22"/>
                <w:szCs w:val="22"/>
              </w:rPr>
            </w:pPr>
            <w:r w:rsidRPr="00687500">
              <w:rPr>
                <w:rFonts w:ascii="Tahoma" w:hAnsi="Tahoma" w:cs="Tahoma"/>
                <w:sz w:val="22"/>
                <w:szCs w:val="22"/>
              </w:rPr>
              <w:t>10,5</w:t>
            </w:r>
            <w:r w:rsidR="005829CC">
              <w:rPr>
                <w:rFonts w:ascii="Tahoma" w:hAnsi="Tahoma" w:cs="Tahoma"/>
                <w:sz w:val="22"/>
                <w:szCs w:val="22"/>
              </w:rPr>
              <w:t>42</w:t>
            </w:r>
          </w:p>
        </w:tc>
        <w:tc>
          <w:tcPr>
            <w:tcW w:w="1124" w:type="dxa"/>
            <w:tcBorders>
              <w:top w:val="single" w:sz="4" w:space="0" w:color="auto"/>
              <w:bottom w:val="double" w:sz="4" w:space="0" w:color="auto"/>
            </w:tcBorders>
          </w:tcPr>
          <w:p w:rsidR="001F1B06" w:rsidRPr="00687500" w:rsidRDefault="005829CC" w:rsidP="00F154E6">
            <w:pPr>
              <w:jc w:val="right"/>
              <w:rPr>
                <w:rFonts w:ascii="Tahoma" w:hAnsi="Tahoma" w:cs="Tahoma"/>
                <w:sz w:val="22"/>
                <w:szCs w:val="22"/>
              </w:rPr>
            </w:pPr>
            <w:r w:rsidRPr="00687500">
              <w:rPr>
                <w:rFonts w:ascii="Tahoma" w:hAnsi="Tahoma" w:cs="Tahoma"/>
                <w:sz w:val="22"/>
                <w:szCs w:val="22"/>
              </w:rPr>
              <w:t>10,5</w:t>
            </w:r>
            <w:r>
              <w:rPr>
                <w:rFonts w:ascii="Tahoma" w:hAnsi="Tahoma" w:cs="Tahoma"/>
                <w:sz w:val="22"/>
                <w:szCs w:val="22"/>
              </w:rPr>
              <w:t>42</w:t>
            </w:r>
          </w:p>
        </w:tc>
      </w:tr>
      <w:tr w:rsidR="001F1B06" w:rsidRPr="00687500">
        <w:tblPrEx>
          <w:tblLook w:val="0000"/>
        </w:tblPrEx>
        <w:tc>
          <w:tcPr>
            <w:tcW w:w="5877" w:type="dxa"/>
          </w:tcPr>
          <w:p w:rsidR="001F1B06" w:rsidRPr="00687500" w:rsidRDefault="001F1B06" w:rsidP="00C72DBF">
            <w:pPr>
              <w:jc w:val="both"/>
              <w:rPr>
                <w:rFonts w:ascii="Tahoma" w:hAnsi="Tahoma" w:cs="Tahoma"/>
                <w:sz w:val="22"/>
                <w:szCs w:val="22"/>
                <w:u w:val="single"/>
              </w:rPr>
            </w:pPr>
            <w:r w:rsidRPr="00687500">
              <w:rPr>
                <w:rFonts w:ascii="Tahoma" w:hAnsi="Tahoma" w:cs="Tahoma"/>
                <w:sz w:val="22"/>
                <w:szCs w:val="22"/>
                <w:u w:val="single"/>
              </w:rPr>
              <w:t>Short Term Borrowings</w:t>
            </w:r>
          </w:p>
        </w:tc>
        <w:tc>
          <w:tcPr>
            <w:tcW w:w="1140" w:type="dxa"/>
            <w:tcBorders>
              <w:top w:val="double" w:sz="4" w:space="0" w:color="auto"/>
            </w:tcBorders>
          </w:tcPr>
          <w:p w:rsidR="001F1B06" w:rsidRPr="00687500" w:rsidRDefault="001F1B06" w:rsidP="00F154E6">
            <w:pPr>
              <w:jc w:val="right"/>
              <w:rPr>
                <w:rFonts w:ascii="Tahoma" w:hAnsi="Tahoma" w:cs="Tahoma"/>
                <w:sz w:val="22"/>
                <w:szCs w:val="22"/>
                <w:highlight w:val="yellow"/>
              </w:rPr>
            </w:pPr>
          </w:p>
        </w:tc>
        <w:tc>
          <w:tcPr>
            <w:tcW w:w="1124" w:type="dxa"/>
            <w:tcBorders>
              <w:top w:val="double" w:sz="4" w:space="0" w:color="auto"/>
            </w:tcBorders>
          </w:tcPr>
          <w:p w:rsidR="001F1B06" w:rsidRPr="00687500" w:rsidRDefault="001F1B06" w:rsidP="00F154E6">
            <w:pPr>
              <w:jc w:val="right"/>
              <w:rPr>
                <w:rFonts w:ascii="Tahoma" w:hAnsi="Tahoma" w:cs="Tahoma"/>
                <w:sz w:val="22"/>
                <w:szCs w:val="22"/>
                <w:highlight w:val="yellow"/>
              </w:rPr>
            </w:pPr>
          </w:p>
        </w:tc>
      </w:tr>
      <w:tr w:rsidR="001F1B06" w:rsidRPr="00687500">
        <w:tblPrEx>
          <w:tblLook w:val="0000"/>
        </w:tblPrEx>
        <w:tc>
          <w:tcPr>
            <w:tcW w:w="5877" w:type="dxa"/>
          </w:tcPr>
          <w:p w:rsidR="001F1B06" w:rsidRPr="00687500" w:rsidRDefault="001F1B06" w:rsidP="00C72DBF">
            <w:pPr>
              <w:jc w:val="both"/>
              <w:rPr>
                <w:rFonts w:ascii="Tahoma" w:hAnsi="Tahoma" w:cs="Tahoma"/>
                <w:sz w:val="22"/>
                <w:szCs w:val="22"/>
              </w:rPr>
            </w:pPr>
            <w:r w:rsidRPr="00687500">
              <w:rPr>
                <w:rFonts w:ascii="Tahoma" w:hAnsi="Tahoma" w:cs="Tahoma"/>
                <w:sz w:val="22"/>
                <w:szCs w:val="22"/>
              </w:rPr>
              <w:t>Current portion of restructured loans</w:t>
            </w:r>
          </w:p>
        </w:tc>
        <w:tc>
          <w:tcPr>
            <w:tcW w:w="1140" w:type="dxa"/>
          </w:tcPr>
          <w:p w:rsidR="001F1B06" w:rsidRPr="00687500" w:rsidRDefault="005829CC" w:rsidP="00F154E6">
            <w:pPr>
              <w:jc w:val="right"/>
              <w:rPr>
                <w:rFonts w:ascii="Tahoma" w:hAnsi="Tahoma" w:cs="Tahoma"/>
                <w:sz w:val="22"/>
                <w:szCs w:val="22"/>
              </w:rPr>
            </w:pPr>
            <w:r>
              <w:rPr>
                <w:rFonts w:ascii="Tahoma" w:hAnsi="Tahoma" w:cs="Tahoma"/>
                <w:sz w:val="22"/>
                <w:szCs w:val="22"/>
              </w:rPr>
              <w:t>2,565</w:t>
            </w:r>
          </w:p>
        </w:tc>
        <w:tc>
          <w:tcPr>
            <w:tcW w:w="1124" w:type="dxa"/>
          </w:tcPr>
          <w:p w:rsidR="001F1B06" w:rsidRPr="00687500" w:rsidRDefault="005829CC" w:rsidP="00F154E6">
            <w:pPr>
              <w:jc w:val="right"/>
              <w:rPr>
                <w:rFonts w:ascii="Tahoma" w:hAnsi="Tahoma" w:cs="Tahoma"/>
                <w:sz w:val="22"/>
                <w:szCs w:val="22"/>
              </w:rPr>
            </w:pPr>
            <w:r>
              <w:rPr>
                <w:rFonts w:ascii="Tahoma" w:hAnsi="Tahoma" w:cs="Tahoma"/>
                <w:sz w:val="22"/>
                <w:szCs w:val="22"/>
              </w:rPr>
              <w:t>2,</w:t>
            </w:r>
            <w:r w:rsidR="0023022D">
              <w:rPr>
                <w:rFonts w:ascii="Tahoma" w:hAnsi="Tahoma" w:cs="Tahoma"/>
                <w:sz w:val="22"/>
                <w:szCs w:val="22"/>
              </w:rPr>
              <w:t>652</w:t>
            </w:r>
          </w:p>
        </w:tc>
      </w:tr>
      <w:tr w:rsidR="001F1B06" w:rsidRPr="00687500">
        <w:tblPrEx>
          <w:tblLook w:val="0000"/>
        </w:tblPrEx>
        <w:tc>
          <w:tcPr>
            <w:tcW w:w="5877" w:type="dxa"/>
          </w:tcPr>
          <w:p w:rsidR="001F1B06" w:rsidRPr="00687500" w:rsidRDefault="001F1B06" w:rsidP="00C72DBF">
            <w:pPr>
              <w:jc w:val="both"/>
              <w:rPr>
                <w:rFonts w:ascii="Tahoma" w:hAnsi="Tahoma" w:cs="Tahoma"/>
                <w:sz w:val="22"/>
                <w:szCs w:val="22"/>
              </w:rPr>
            </w:pPr>
            <w:r w:rsidRPr="00687500">
              <w:rPr>
                <w:rFonts w:ascii="Tahoma" w:hAnsi="Tahoma" w:cs="Tahoma"/>
                <w:sz w:val="22"/>
                <w:szCs w:val="22"/>
              </w:rPr>
              <w:t>Liabilities associated with properties classified as held for sale:</w:t>
            </w:r>
          </w:p>
        </w:tc>
        <w:tc>
          <w:tcPr>
            <w:tcW w:w="1140" w:type="dxa"/>
          </w:tcPr>
          <w:p w:rsidR="001F1B06" w:rsidRPr="00687500" w:rsidRDefault="001F1B06" w:rsidP="00F154E6">
            <w:pPr>
              <w:jc w:val="right"/>
              <w:rPr>
                <w:rFonts w:ascii="Tahoma" w:hAnsi="Tahoma" w:cs="Tahoma"/>
                <w:sz w:val="22"/>
                <w:szCs w:val="22"/>
                <w:highlight w:val="yellow"/>
              </w:rPr>
            </w:pPr>
          </w:p>
        </w:tc>
        <w:tc>
          <w:tcPr>
            <w:tcW w:w="1124" w:type="dxa"/>
          </w:tcPr>
          <w:p w:rsidR="001F1B06" w:rsidRPr="00687500" w:rsidRDefault="001F1B06" w:rsidP="00F154E6">
            <w:pPr>
              <w:jc w:val="right"/>
              <w:rPr>
                <w:rFonts w:ascii="Tahoma" w:hAnsi="Tahoma" w:cs="Tahoma"/>
                <w:sz w:val="22"/>
                <w:szCs w:val="22"/>
                <w:highlight w:val="yellow"/>
              </w:rPr>
            </w:pPr>
          </w:p>
        </w:tc>
      </w:tr>
      <w:tr w:rsidR="001F1B06" w:rsidRPr="00687500">
        <w:tblPrEx>
          <w:tblLook w:val="0000"/>
        </w:tblPrEx>
        <w:tc>
          <w:tcPr>
            <w:tcW w:w="5877" w:type="dxa"/>
          </w:tcPr>
          <w:p w:rsidR="001F1B06" w:rsidRPr="00687500" w:rsidRDefault="001F1B06" w:rsidP="00C72DBF">
            <w:pPr>
              <w:jc w:val="both"/>
              <w:rPr>
                <w:rFonts w:ascii="Tahoma" w:hAnsi="Tahoma" w:cs="Tahoma"/>
                <w:sz w:val="22"/>
                <w:szCs w:val="22"/>
              </w:rPr>
            </w:pPr>
            <w:r w:rsidRPr="00687500">
              <w:rPr>
                <w:rFonts w:ascii="Tahoma" w:hAnsi="Tahoma" w:cs="Tahoma"/>
                <w:sz w:val="22"/>
                <w:szCs w:val="22"/>
              </w:rPr>
              <w:t>-Bank overdrafts</w:t>
            </w:r>
          </w:p>
        </w:tc>
        <w:tc>
          <w:tcPr>
            <w:tcW w:w="1140" w:type="dxa"/>
          </w:tcPr>
          <w:p w:rsidR="001F1B06" w:rsidRPr="00687500" w:rsidRDefault="001F1B06" w:rsidP="00F154E6">
            <w:pPr>
              <w:jc w:val="center"/>
              <w:rPr>
                <w:rFonts w:ascii="Tahoma" w:hAnsi="Tahoma" w:cs="Tahoma"/>
                <w:sz w:val="22"/>
                <w:szCs w:val="22"/>
              </w:rPr>
            </w:pPr>
            <w:r w:rsidRPr="00687500">
              <w:rPr>
                <w:rFonts w:ascii="Tahoma" w:hAnsi="Tahoma" w:cs="Tahoma"/>
                <w:sz w:val="22"/>
                <w:szCs w:val="22"/>
              </w:rPr>
              <w:t>-</w:t>
            </w:r>
          </w:p>
        </w:tc>
        <w:tc>
          <w:tcPr>
            <w:tcW w:w="1124" w:type="dxa"/>
          </w:tcPr>
          <w:p w:rsidR="001F1B06" w:rsidRPr="00687500" w:rsidRDefault="001F1B06" w:rsidP="00F154E6">
            <w:pPr>
              <w:jc w:val="center"/>
              <w:rPr>
                <w:rFonts w:ascii="Tahoma" w:hAnsi="Tahoma" w:cs="Tahoma"/>
                <w:sz w:val="22"/>
                <w:szCs w:val="22"/>
              </w:rPr>
            </w:pPr>
            <w:r w:rsidRPr="00687500">
              <w:rPr>
                <w:rFonts w:ascii="Tahoma" w:hAnsi="Tahoma" w:cs="Tahoma"/>
                <w:sz w:val="22"/>
                <w:szCs w:val="22"/>
              </w:rPr>
              <w:t>-</w:t>
            </w:r>
          </w:p>
        </w:tc>
      </w:tr>
      <w:tr w:rsidR="001F1B06" w:rsidRPr="00687500">
        <w:tblPrEx>
          <w:tblLook w:val="0000"/>
        </w:tblPrEx>
        <w:tc>
          <w:tcPr>
            <w:tcW w:w="5877" w:type="dxa"/>
          </w:tcPr>
          <w:p w:rsidR="001F1B06" w:rsidRPr="00687500" w:rsidRDefault="001F1B06" w:rsidP="00C72DBF">
            <w:pPr>
              <w:jc w:val="both"/>
              <w:rPr>
                <w:rFonts w:ascii="Tahoma" w:hAnsi="Tahoma" w:cs="Tahoma"/>
                <w:sz w:val="22"/>
                <w:szCs w:val="22"/>
              </w:rPr>
            </w:pPr>
          </w:p>
        </w:tc>
        <w:tc>
          <w:tcPr>
            <w:tcW w:w="1140" w:type="dxa"/>
            <w:tcBorders>
              <w:top w:val="single" w:sz="4" w:space="0" w:color="auto"/>
              <w:bottom w:val="double" w:sz="4" w:space="0" w:color="auto"/>
            </w:tcBorders>
          </w:tcPr>
          <w:p w:rsidR="001F1B06" w:rsidRPr="00687500" w:rsidRDefault="005829CC" w:rsidP="00F154E6">
            <w:pPr>
              <w:jc w:val="right"/>
              <w:rPr>
                <w:rFonts w:ascii="Tahoma" w:hAnsi="Tahoma" w:cs="Tahoma"/>
                <w:sz w:val="22"/>
                <w:szCs w:val="22"/>
              </w:rPr>
            </w:pPr>
            <w:r>
              <w:rPr>
                <w:rFonts w:ascii="Tahoma" w:hAnsi="Tahoma" w:cs="Tahoma"/>
                <w:sz w:val="22"/>
                <w:szCs w:val="22"/>
              </w:rPr>
              <w:t>2,565</w:t>
            </w:r>
          </w:p>
        </w:tc>
        <w:tc>
          <w:tcPr>
            <w:tcW w:w="1124" w:type="dxa"/>
            <w:tcBorders>
              <w:top w:val="single" w:sz="4" w:space="0" w:color="auto"/>
              <w:bottom w:val="double" w:sz="4" w:space="0" w:color="auto"/>
            </w:tcBorders>
          </w:tcPr>
          <w:p w:rsidR="001F1B06" w:rsidRPr="00687500" w:rsidRDefault="005829CC" w:rsidP="00F154E6">
            <w:pPr>
              <w:jc w:val="right"/>
              <w:rPr>
                <w:rFonts w:ascii="Tahoma" w:hAnsi="Tahoma" w:cs="Tahoma"/>
                <w:sz w:val="22"/>
                <w:szCs w:val="22"/>
              </w:rPr>
            </w:pPr>
            <w:r>
              <w:rPr>
                <w:rFonts w:ascii="Tahoma" w:hAnsi="Tahoma" w:cs="Tahoma"/>
                <w:sz w:val="22"/>
                <w:szCs w:val="22"/>
              </w:rPr>
              <w:t>2,</w:t>
            </w:r>
            <w:r w:rsidR="0023022D">
              <w:rPr>
                <w:rFonts w:ascii="Tahoma" w:hAnsi="Tahoma" w:cs="Tahoma"/>
                <w:sz w:val="22"/>
                <w:szCs w:val="22"/>
              </w:rPr>
              <w:t>652</w:t>
            </w:r>
          </w:p>
        </w:tc>
      </w:tr>
      <w:tr w:rsidR="001F1B06" w:rsidRPr="00687500">
        <w:tblPrEx>
          <w:tblLook w:val="0000"/>
        </w:tblPrEx>
        <w:tc>
          <w:tcPr>
            <w:tcW w:w="5877" w:type="dxa"/>
          </w:tcPr>
          <w:p w:rsidR="001F1B06" w:rsidRPr="00687500" w:rsidRDefault="001F1B06" w:rsidP="00C72DBF">
            <w:pPr>
              <w:jc w:val="both"/>
              <w:rPr>
                <w:rFonts w:ascii="Tahoma" w:hAnsi="Tahoma" w:cs="Tahoma"/>
                <w:sz w:val="22"/>
                <w:szCs w:val="22"/>
              </w:rPr>
            </w:pPr>
          </w:p>
        </w:tc>
        <w:tc>
          <w:tcPr>
            <w:tcW w:w="1140" w:type="dxa"/>
            <w:tcBorders>
              <w:top w:val="double" w:sz="4" w:space="0" w:color="auto"/>
            </w:tcBorders>
          </w:tcPr>
          <w:p w:rsidR="001F1B06" w:rsidRPr="00687500" w:rsidRDefault="001F1B06" w:rsidP="00F154E6">
            <w:pPr>
              <w:jc w:val="right"/>
              <w:rPr>
                <w:rFonts w:ascii="Tahoma" w:hAnsi="Tahoma" w:cs="Tahoma"/>
                <w:sz w:val="22"/>
                <w:szCs w:val="22"/>
              </w:rPr>
            </w:pPr>
          </w:p>
        </w:tc>
        <w:tc>
          <w:tcPr>
            <w:tcW w:w="1124" w:type="dxa"/>
            <w:tcBorders>
              <w:top w:val="double" w:sz="4" w:space="0" w:color="auto"/>
            </w:tcBorders>
          </w:tcPr>
          <w:p w:rsidR="001F1B06" w:rsidRPr="00687500" w:rsidRDefault="001F1B06" w:rsidP="00F154E6">
            <w:pPr>
              <w:jc w:val="right"/>
              <w:rPr>
                <w:rFonts w:ascii="Tahoma" w:hAnsi="Tahoma" w:cs="Tahoma"/>
                <w:sz w:val="22"/>
                <w:szCs w:val="22"/>
              </w:rPr>
            </w:pPr>
          </w:p>
        </w:tc>
      </w:tr>
      <w:tr w:rsidR="001F1B06" w:rsidRPr="00687500">
        <w:tblPrEx>
          <w:tblLook w:val="0000"/>
        </w:tblPrEx>
        <w:tc>
          <w:tcPr>
            <w:tcW w:w="5877" w:type="dxa"/>
          </w:tcPr>
          <w:p w:rsidR="001F1B06" w:rsidRPr="00687500" w:rsidRDefault="001F1B06" w:rsidP="00C72DBF">
            <w:pPr>
              <w:jc w:val="both"/>
              <w:rPr>
                <w:rFonts w:ascii="Tahoma" w:hAnsi="Tahoma" w:cs="Tahoma"/>
                <w:sz w:val="22"/>
                <w:szCs w:val="22"/>
              </w:rPr>
            </w:pPr>
            <w:r w:rsidRPr="00687500">
              <w:rPr>
                <w:rFonts w:ascii="Tahoma" w:hAnsi="Tahoma" w:cs="Tahoma"/>
                <w:sz w:val="22"/>
                <w:szCs w:val="22"/>
              </w:rPr>
              <w:t>Total</w:t>
            </w:r>
          </w:p>
        </w:tc>
        <w:tc>
          <w:tcPr>
            <w:tcW w:w="1140" w:type="dxa"/>
            <w:tcBorders>
              <w:bottom w:val="thickThinSmallGap" w:sz="24" w:space="0" w:color="auto"/>
            </w:tcBorders>
          </w:tcPr>
          <w:p w:rsidR="001F1B06" w:rsidRPr="00687500" w:rsidRDefault="005829CC" w:rsidP="008A2351">
            <w:pPr>
              <w:jc w:val="right"/>
              <w:rPr>
                <w:rFonts w:ascii="Tahoma" w:hAnsi="Tahoma" w:cs="Tahoma"/>
                <w:sz w:val="22"/>
                <w:szCs w:val="22"/>
              </w:rPr>
            </w:pPr>
            <w:r>
              <w:rPr>
                <w:rFonts w:ascii="Tahoma" w:hAnsi="Tahoma" w:cs="Tahoma"/>
                <w:sz w:val="22"/>
                <w:szCs w:val="22"/>
              </w:rPr>
              <w:t>13,107</w:t>
            </w:r>
          </w:p>
        </w:tc>
        <w:tc>
          <w:tcPr>
            <w:tcW w:w="1124" w:type="dxa"/>
            <w:tcBorders>
              <w:bottom w:val="thickThinSmallGap" w:sz="24" w:space="0" w:color="auto"/>
            </w:tcBorders>
          </w:tcPr>
          <w:p w:rsidR="001F1B06" w:rsidRPr="00687500" w:rsidRDefault="005829CC" w:rsidP="008A2351">
            <w:pPr>
              <w:jc w:val="right"/>
              <w:rPr>
                <w:rFonts w:ascii="Tahoma" w:hAnsi="Tahoma" w:cs="Tahoma"/>
                <w:sz w:val="22"/>
                <w:szCs w:val="22"/>
              </w:rPr>
            </w:pPr>
            <w:r>
              <w:rPr>
                <w:rFonts w:ascii="Tahoma" w:hAnsi="Tahoma" w:cs="Tahoma"/>
                <w:sz w:val="22"/>
                <w:szCs w:val="22"/>
              </w:rPr>
              <w:t>13,1</w:t>
            </w:r>
            <w:r w:rsidR="0023022D">
              <w:rPr>
                <w:rFonts w:ascii="Tahoma" w:hAnsi="Tahoma" w:cs="Tahoma"/>
                <w:sz w:val="22"/>
                <w:szCs w:val="22"/>
              </w:rPr>
              <w:t>94</w:t>
            </w:r>
          </w:p>
        </w:tc>
      </w:tr>
    </w:tbl>
    <w:p w:rsidR="00C921E6" w:rsidRPr="00687500" w:rsidRDefault="00C921E6" w:rsidP="00C72DBF">
      <w:pPr>
        <w:pStyle w:val="BodyTextIndent2"/>
        <w:rPr>
          <w:rFonts w:ascii="Tahoma" w:hAnsi="Tahoma" w:cs="Tahoma"/>
          <w:sz w:val="22"/>
          <w:szCs w:val="22"/>
        </w:rPr>
      </w:pPr>
    </w:p>
    <w:p w:rsidR="00C921E6" w:rsidRPr="00687500" w:rsidRDefault="00C921E6" w:rsidP="005213E1">
      <w:pPr>
        <w:numPr>
          <w:ilvl w:val="0"/>
          <w:numId w:val="42"/>
        </w:numPr>
        <w:jc w:val="both"/>
        <w:rPr>
          <w:rFonts w:ascii="Tahoma" w:hAnsi="Tahoma" w:cs="Tahoma"/>
          <w:b/>
          <w:sz w:val="22"/>
          <w:szCs w:val="22"/>
        </w:rPr>
      </w:pPr>
      <w:r w:rsidRPr="00687500">
        <w:rPr>
          <w:rFonts w:ascii="Tahoma" w:hAnsi="Tahoma" w:cs="Tahoma"/>
          <w:b/>
          <w:sz w:val="22"/>
          <w:szCs w:val="22"/>
        </w:rPr>
        <w:t xml:space="preserve">“OFF BALANCE SHEET” FINANCIAL INSTRUMENT </w:t>
      </w:r>
    </w:p>
    <w:p w:rsidR="00C921E6" w:rsidRPr="00687500" w:rsidRDefault="00C921E6" w:rsidP="00C72DBF">
      <w:pPr>
        <w:pStyle w:val="BodyTextIndent2"/>
        <w:rPr>
          <w:rFonts w:ascii="Tahoma" w:hAnsi="Tahoma" w:cs="Tahoma"/>
          <w:sz w:val="22"/>
          <w:szCs w:val="22"/>
        </w:rPr>
      </w:pPr>
    </w:p>
    <w:p w:rsidR="00291059" w:rsidRPr="00687500" w:rsidRDefault="00291059" w:rsidP="00C72DBF">
      <w:pPr>
        <w:pStyle w:val="BodyTextIndent2"/>
        <w:rPr>
          <w:rFonts w:ascii="Tahoma" w:hAnsi="Tahoma" w:cs="Tahoma"/>
          <w:sz w:val="22"/>
          <w:szCs w:val="22"/>
        </w:rPr>
      </w:pPr>
      <w:r w:rsidRPr="00687500">
        <w:rPr>
          <w:rFonts w:ascii="Tahoma" w:hAnsi="Tahoma" w:cs="Tahoma"/>
          <w:sz w:val="22"/>
          <w:szCs w:val="22"/>
        </w:rPr>
        <w:t xml:space="preserve">The Group does not have any financial instruments with off balance sheet risk as at </w:t>
      </w:r>
      <w:r w:rsidR="00790C99" w:rsidRPr="00687500">
        <w:rPr>
          <w:rFonts w:ascii="Tahoma" w:hAnsi="Tahoma" w:cs="Tahoma"/>
          <w:sz w:val="22"/>
          <w:szCs w:val="22"/>
        </w:rPr>
        <w:t>the date of this announcement.</w:t>
      </w:r>
    </w:p>
    <w:p w:rsidR="00382BF9" w:rsidRDefault="00382BF9" w:rsidP="00C72DBF">
      <w:pPr>
        <w:jc w:val="both"/>
        <w:rPr>
          <w:rFonts w:ascii="Tahoma" w:hAnsi="Tahoma" w:cs="Tahoma"/>
          <w:b/>
          <w:sz w:val="22"/>
          <w:szCs w:val="22"/>
        </w:rPr>
      </w:pPr>
    </w:p>
    <w:p w:rsidR="009D6B8A" w:rsidRPr="00687500" w:rsidRDefault="009D6B8A" w:rsidP="00C72DBF">
      <w:pPr>
        <w:jc w:val="both"/>
        <w:rPr>
          <w:rFonts w:ascii="Tahoma" w:hAnsi="Tahoma" w:cs="Tahoma"/>
          <w:b/>
          <w:sz w:val="22"/>
          <w:szCs w:val="22"/>
        </w:rPr>
      </w:pPr>
    </w:p>
    <w:p w:rsidR="00291059" w:rsidRPr="00687500" w:rsidRDefault="004D02EB" w:rsidP="005213E1">
      <w:pPr>
        <w:numPr>
          <w:ilvl w:val="0"/>
          <w:numId w:val="42"/>
        </w:numPr>
        <w:jc w:val="both"/>
        <w:rPr>
          <w:rFonts w:ascii="Tahoma" w:hAnsi="Tahoma" w:cs="Tahoma"/>
          <w:b/>
          <w:sz w:val="22"/>
          <w:szCs w:val="22"/>
        </w:rPr>
      </w:pPr>
      <w:r w:rsidRPr="00687500">
        <w:rPr>
          <w:rFonts w:ascii="Tahoma" w:hAnsi="Tahoma" w:cs="Tahoma"/>
          <w:b/>
          <w:sz w:val="22"/>
          <w:szCs w:val="22"/>
        </w:rPr>
        <w:t xml:space="preserve"> CHANGES IN </w:t>
      </w:r>
      <w:r w:rsidR="00291059" w:rsidRPr="00687500">
        <w:rPr>
          <w:rFonts w:ascii="Tahoma" w:hAnsi="Tahoma" w:cs="Tahoma"/>
          <w:b/>
          <w:sz w:val="22"/>
          <w:szCs w:val="22"/>
        </w:rPr>
        <w:t>MATERIAL LITIGATION</w:t>
      </w:r>
    </w:p>
    <w:p w:rsidR="00291059" w:rsidRPr="00687500" w:rsidRDefault="00291059" w:rsidP="00C72DBF">
      <w:pPr>
        <w:tabs>
          <w:tab w:val="left" w:pos="720"/>
        </w:tabs>
        <w:ind w:left="360"/>
        <w:jc w:val="both"/>
        <w:rPr>
          <w:rFonts w:ascii="Tahoma" w:hAnsi="Tahoma" w:cs="Tahoma"/>
          <w:sz w:val="22"/>
          <w:szCs w:val="22"/>
          <w:highlight w:val="cyan"/>
          <w:lang w:val="en-GB"/>
        </w:rPr>
      </w:pPr>
    </w:p>
    <w:p w:rsidR="00AF2FEB" w:rsidRPr="00687500" w:rsidRDefault="002976D4" w:rsidP="00C72DBF">
      <w:pPr>
        <w:tabs>
          <w:tab w:val="left" w:pos="720"/>
        </w:tabs>
        <w:ind w:left="360"/>
        <w:jc w:val="both"/>
        <w:rPr>
          <w:rFonts w:ascii="Tahoma" w:hAnsi="Tahoma" w:cs="Tahoma"/>
          <w:sz w:val="22"/>
          <w:szCs w:val="22"/>
          <w:lang w:val="en-GB"/>
        </w:rPr>
      </w:pPr>
      <w:r w:rsidRPr="00687500">
        <w:rPr>
          <w:rFonts w:ascii="Tahoma" w:hAnsi="Tahoma" w:cs="Tahoma"/>
          <w:sz w:val="22"/>
          <w:szCs w:val="22"/>
          <w:lang w:val="en-GB"/>
        </w:rPr>
        <w:t xml:space="preserve">There were no </w:t>
      </w:r>
      <w:r w:rsidR="00AF2FEB" w:rsidRPr="00687500">
        <w:rPr>
          <w:rFonts w:ascii="Tahoma" w:hAnsi="Tahoma" w:cs="Tahoma"/>
          <w:sz w:val="22"/>
          <w:szCs w:val="22"/>
          <w:lang w:val="en-GB"/>
        </w:rPr>
        <w:t>material litigation</w:t>
      </w:r>
      <w:r w:rsidRPr="00687500">
        <w:rPr>
          <w:rFonts w:ascii="Tahoma" w:hAnsi="Tahoma" w:cs="Tahoma"/>
          <w:sz w:val="22"/>
          <w:szCs w:val="22"/>
          <w:lang w:val="en-GB"/>
        </w:rPr>
        <w:t>s</w:t>
      </w:r>
      <w:r w:rsidR="00AF2FEB" w:rsidRPr="00687500">
        <w:rPr>
          <w:rFonts w:ascii="Tahoma" w:hAnsi="Tahoma" w:cs="Tahoma"/>
          <w:sz w:val="22"/>
          <w:szCs w:val="22"/>
          <w:lang w:val="en-GB"/>
        </w:rPr>
        <w:t xml:space="preserve"> </w:t>
      </w:r>
      <w:r w:rsidR="00850292" w:rsidRPr="00687500">
        <w:rPr>
          <w:rFonts w:ascii="Tahoma" w:hAnsi="Tahoma" w:cs="Tahoma"/>
          <w:sz w:val="22"/>
          <w:szCs w:val="22"/>
          <w:lang w:val="en-GB"/>
        </w:rPr>
        <w:t>since the last audited financial statements fo</w:t>
      </w:r>
      <w:r w:rsidR="003B5F89" w:rsidRPr="00687500">
        <w:rPr>
          <w:rFonts w:ascii="Tahoma" w:hAnsi="Tahoma" w:cs="Tahoma"/>
          <w:sz w:val="22"/>
          <w:szCs w:val="22"/>
          <w:lang w:val="en-GB"/>
        </w:rPr>
        <w:t xml:space="preserve">r the year ended </w:t>
      </w:r>
      <w:r w:rsidR="005829CC" w:rsidRPr="00687500">
        <w:rPr>
          <w:rFonts w:ascii="Tahoma" w:hAnsi="Tahoma" w:cs="Tahoma"/>
          <w:sz w:val="22"/>
          <w:szCs w:val="22"/>
        </w:rPr>
        <w:t xml:space="preserve">31 </w:t>
      </w:r>
      <w:r w:rsidR="005829CC">
        <w:rPr>
          <w:rFonts w:ascii="Tahoma" w:hAnsi="Tahoma" w:cs="Tahoma"/>
          <w:sz w:val="22"/>
          <w:szCs w:val="22"/>
        </w:rPr>
        <w:t>March 2012</w:t>
      </w:r>
      <w:r w:rsidR="0014785B" w:rsidRPr="00687500">
        <w:rPr>
          <w:rFonts w:ascii="Tahoma" w:hAnsi="Tahoma" w:cs="Tahoma"/>
          <w:sz w:val="22"/>
          <w:szCs w:val="22"/>
          <w:lang w:val="en-GB"/>
        </w:rPr>
        <w:t>.</w:t>
      </w:r>
    </w:p>
    <w:p w:rsidR="003336C1" w:rsidRPr="00687500" w:rsidRDefault="003336C1" w:rsidP="00C72DBF">
      <w:pPr>
        <w:ind w:left="720"/>
        <w:jc w:val="both"/>
        <w:rPr>
          <w:rFonts w:ascii="Tahoma" w:hAnsi="Tahoma" w:cs="Tahoma"/>
          <w:sz w:val="22"/>
          <w:szCs w:val="22"/>
        </w:rPr>
      </w:pPr>
    </w:p>
    <w:p w:rsidR="00291059" w:rsidRPr="00687500" w:rsidRDefault="00291059" w:rsidP="005213E1">
      <w:pPr>
        <w:numPr>
          <w:ilvl w:val="0"/>
          <w:numId w:val="42"/>
        </w:numPr>
        <w:jc w:val="both"/>
        <w:rPr>
          <w:rFonts w:ascii="Tahoma" w:hAnsi="Tahoma" w:cs="Tahoma"/>
          <w:b/>
          <w:sz w:val="22"/>
          <w:szCs w:val="22"/>
        </w:rPr>
      </w:pPr>
      <w:r w:rsidRPr="00687500">
        <w:rPr>
          <w:rFonts w:ascii="Tahoma" w:hAnsi="Tahoma" w:cs="Tahoma"/>
          <w:b/>
          <w:sz w:val="22"/>
          <w:szCs w:val="22"/>
        </w:rPr>
        <w:t>PROPOSED DIVIDEND</w:t>
      </w:r>
    </w:p>
    <w:p w:rsidR="00291059" w:rsidRPr="00687500" w:rsidRDefault="00291059" w:rsidP="00C72DBF">
      <w:pPr>
        <w:jc w:val="both"/>
        <w:rPr>
          <w:rFonts w:ascii="Tahoma" w:hAnsi="Tahoma" w:cs="Tahoma"/>
          <w:sz w:val="22"/>
          <w:szCs w:val="22"/>
        </w:rPr>
      </w:pPr>
    </w:p>
    <w:p w:rsidR="00291059" w:rsidRPr="00687500" w:rsidRDefault="00291059" w:rsidP="00C72DBF">
      <w:pPr>
        <w:pStyle w:val="Header"/>
        <w:tabs>
          <w:tab w:val="clear" w:pos="4320"/>
          <w:tab w:val="clear" w:pos="8640"/>
        </w:tabs>
        <w:ind w:left="360"/>
        <w:jc w:val="both"/>
        <w:rPr>
          <w:rFonts w:ascii="Tahoma" w:hAnsi="Tahoma" w:cs="Tahoma"/>
          <w:bCs/>
          <w:sz w:val="22"/>
          <w:szCs w:val="22"/>
        </w:rPr>
      </w:pPr>
      <w:r w:rsidRPr="00687500">
        <w:rPr>
          <w:rFonts w:ascii="Tahoma" w:hAnsi="Tahoma" w:cs="Tahoma"/>
          <w:bCs/>
          <w:sz w:val="22"/>
          <w:szCs w:val="22"/>
        </w:rPr>
        <w:t xml:space="preserve">There were no dividends </w:t>
      </w:r>
      <w:r w:rsidR="00240266" w:rsidRPr="00687500">
        <w:rPr>
          <w:rFonts w:ascii="Tahoma" w:hAnsi="Tahoma" w:cs="Tahoma"/>
          <w:bCs/>
          <w:sz w:val="22"/>
          <w:szCs w:val="22"/>
        </w:rPr>
        <w:t xml:space="preserve">proposed </w:t>
      </w:r>
      <w:r w:rsidRPr="00687500">
        <w:rPr>
          <w:rFonts w:ascii="Tahoma" w:hAnsi="Tahoma" w:cs="Tahoma"/>
          <w:bCs/>
          <w:sz w:val="22"/>
          <w:szCs w:val="22"/>
        </w:rPr>
        <w:t>or declared during the</w:t>
      </w:r>
      <w:r w:rsidR="00850292" w:rsidRPr="00687500">
        <w:rPr>
          <w:rFonts w:ascii="Tahoma" w:hAnsi="Tahoma" w:cs="Tahoma"/>
          <w:bCs/>
          <w:sz w:val="22"/>
          <w:szCs w:val="22"/>
        </w:rPr>
        <w:t xml:space="preserve"> current quarter </w:t>
      </w:r>
      <w:r w:rsidRPr="00687500">
        <w:rPr>
          <w:rFonts w:ascii="Tahoma" w:hAnsi="Tahoma" w:cs="Tahoma"/>
          <w:bCs/>
          <w:sz w:val="22"/>
          <w:szCs w:val="22"/>
        </w:rPr>
        <w:t>under review</w:t>
      </w:r>
      <w:r w:rsidR="00850292" w:rsidRPr="00687500">
        <w:rPr>
          <w:rFonts w:ascii="Tahoma" w:hAnsi="Tahoma" w:cs="Tahoma"/>
          <w:bCs/>
          <w:sz w:val="22"/>
          <w:szCs w:val="22"/>
        </w:rPr>
        <w:t xml:space="preserve"> and the financial year-to-date</w:t>
      </w:r>
      <w:r w:rsidRPr="00687500">
        <w:rPr>
          <w:rFonts w:ascii="Tahoma" w:hAnsi="Tahoma" w:cs="Tahoma"/>
          <w:bCs/>
          <w:sz w:val="22"/>
          <w:szCs w:val="22"/>
        </w:rPr>
        <w:t xml:space="preserve">. </w:t>
      </w:r>
    </w:p>
    <w:p w:rsidR="0092422F" w:rsidRDefault="0092422F" w:rsidP="00C72DBF">
      <w:pPr>
        <w:pStyle w:val="Header"/>
        <w:tabs>
          <w:tab w:val="clear" w:pos="4320"/>
          <w:tab w:val="clear" w:pos="8640"/>
        </w:tabs>
        <w:jc w:val="both"/>
        <w:rPr>
          <w:rFonts w:ascii="Tahoma" w:hAnsi="Tahoma" w:cs="Tahoma"/>
          <w:bCs/>
          <w:sz w:val="22"/>
          <w:szCs w:val="22"/>
        </w:rPr>
      </w:pPr>
    </w:p>
    <w:p w:rsidR="006817B6" w:rsidRDefault="006817B6" w:rsidP="00C72DBF">
      <w:pPr>
        <w:pStyle w:val="Header"/>
        <w:tabs>
          <w:tab w:val="clear" w:pos="4320"/>
          <w:tab w:val="clear" w:pos="8640"/>
        </w:tabs>
        <w:jc w:val="both"/>
        <w:rPr>
          <w:rFonts w:ascii="Tahoma" w:hAnsi="Tahoma" w:cs="Tahoma"/>
          <w:bCs/>
          <w:sz w:val="22"/>
          <w:szCs w:val="22"/>
        </w:rPr>
      </w:pPr>
    </w:p>
    <w:p w:rsidR="006817B6" w:rsidRDefault="006817B6" w:rsidP="00C72DBF">
      <w:pPr>
        <w:pStyle w:val="Header"/>
        <w:tabs>
          <w:tab w:val="clear" w:pos="4320"/>
          <w:tab w:val="clear" w:pos="8640"/>
        </w:tabs>
        <w:jc w:val="both"/>
        <w:rPr>
          <w:rFonts w:ascii="Tahoma" w:hAnsi="Tahoma" w:cs="Tahoma"/>
          <w:bCs/>
          <w:sz w:val="22"/>
          <w:szCs w:val="22"/>
        </w:rPr>
      </w:pPr>
    </w:p>
    <w:p w:rsidR="006817B6" w:rsidRDefault="006817B6" w:rsidP="00C72DBF">
      <w:pPr>
        <w:pStyle w:val="Header"/>
        <w:tabs>
          <w:tab w:val="clear" w:pos="4320"/>
          <w:tab w:val="clear" w:pos="8640"/>
        </w:tabs>
        <w:jc w:val="both"/>
        <w:rPr>
          <w:rFonts w:ascii="Tahoma" w:hAnsi="Tahoma" w:cs="Tahoma"/>
          <w:bCs/>
          <w:sz w:val="22"/>
          <w:szCs w:val="22"/>
        </w:rPr>
      </w:pPr>
    </w:p>
    <w:p w:rsidR="006817B6" w:rsidRDefault="006817B6" w:rsidP="00C72DBF">
      <w:pPr>
        <w:pStyle w:val="Header"/>
        <w:tabs>
          <w:tab w:val="clear" w:pos="4320"/>
          <w:tab w:val="clear" w:pos="8640"/>
        </w:tabs>
        <w:jc w:val="both"/>
        <w:rPr>
          <w:rFonts w:ascii="Tahoma" w:hAnsi="Tahoma" w:cs="Tahoma"/>
          <w:bCs/>
          <w:sz w:val="22"/>
          <w:szCs w:val="22"/>
        </w:rPr>
      </w:pPr>
    </w:p>
    <w:p w:rsidR="006817B6" w:rsidRPr="00687500" w:rsidRDefault="006817B6" w:rsidP="00C72DBF">
      <w:pPr>
        <w:pStyle w:val="Header"/>
        <w:tabs>
          <w:tab w:val="clear" w:pos="4320"/>
          <w:tab w:val="clear" w:pos="8640"/>
        </w:tabs>
        <w:jc w:val="both"/>
        <w:rPr>
          <w:rFonts w:ascii="Tahoma" w:hAnsi="Tahoma" w:cs="Tahoma"/>
          <w:bCs/>
          <w:sz w:val="22"/>
          <w:szCs w:val="22"/>
        </w:rPr>
      </w:pPr>
    </w:p>
    <w:p w:rsidR="00291059" w:rsidRPr="00687500" w:rsidRDefault="00291059" w:rsidP="005213E1">
      <w:pPr>
        <w:numPr>
          <w:ilvl w:val="0"/>
          <w:numId w:val="42"/>
        </w:numPr>
        <w:jc w:val="both"/>
        <w:rPr>
          <w:rFonts w:ascii="Tahoma" w:hAnsi="Tahoma" w:cs="Tahoma"/>
          <w:b/>
          <w:sz w:val="22"/>
          <w:szCs w:val="22"/>
        </w:rPr>
      </w:pPr>
      <w:r w:rsidRPr="00687500">
        <w:rPr>
          <w:rFonts w:ascii="Tahoma" w:hAnsi="Tahoma" w:cs="Tahoma"/>
          <w:b/>
          <w:sz w:val="22"/>
          <w:szCs w:val="22"/>
        </w:rPr>
        <w:lastRenderedPageBreak/>
        <w:t>EARNINGS PER SHARE</w:t>
      </w:r>
    </w:p>
    <w:tbl>
      <w:tblPr>
        <w:tblW w:w="9828" w:type="dxa"/>
        <w:tblLook w:val="01E0"/>
      </w:tblPr>
      <w:tblGrid>
        <w:gridCol w:w="3108"/>
        <w:gridCol w:w="1680"/>
        <w:gridCol w:w="1560"/>
        <w:gridCol w:w="1680"/>
        <w:gridCol w:w="1788"/>
        <w:gridCol w:w="12"/>
      </w:tblGrid>
      <w:tr w:rsidR="00291059" w:rsidRPr="00687500">
        <w:trPr>
          <w:gridBefore w:val="1"/>
          <w:gridAfter w:val="1"/>
          <w:wBefore w:w="3108" w:type="dxa"/>
          <w:wAfter w:w="12" w:type="dxa"/>
          <w:tblHeader/>
        </w:trPr>
        <w:tc>
          <w:tcPr>
            <w:tcW w:w="3240" w:type="dxa"/>
            <w:gridSpan w:val="2"/>
          </w:tcPr>
          <w:p w:rsidR="00291059" w:rsidRPr="00687500" w:rsidRDefault="00291059" w:rsidP="00C72DBF">
            <w:pPr>
              <w:jc w:val="both"/>
              <w:rPr>
                <w:rFonts w:ascii="Tahoma" w:hAnsi="Tahoma" w:cs="Tahoma"/>
                <w:sz w:val="22"/>
                <w:szCs w:val="22"/>
              </w:rPr>
            </w:pPr>
            <w:r w:rsidRPr="00687500">
              <w:rPr>
                <w:rFonts w:ascii="Tahoma" w:hAnsi="Tahoma" w:cs="Tahoma"/>
                <w:sz w:val="22"/>
                <w:szCs w:val="22"/>
              </w:rPr>
              <w:t>3 months ended</w:t>
            </w:r>
          </w:p>
        </w:tc>
        <w:tc>
          <w:tcPr>
            <w:tcW w:w="3468" w:type="dxa"/>
            <w:gridSpan w:val="2"/>
          </w:tcPr>
          <w:p w:rsidR="00291059" w:rsidRPr="00687500" w:rsidRDefault="00291059" w:rsidP="00C72DBF">
            <w:pPr>
              <w:jc w:val="both"/>
              <w:rPr>
                <w:rFonts w:ascii="Tahoma" w:hAnsi="Tahoma" w:cs="Tahoma"/>
                <w:sz w:val="22"/>
                <w:szCs w:val="22"/>
              </w:rPr>
            </w:pPr>
            <w:r w:rsidRPr="00687500">
              <w:rPr>
                <w:rFonts w:ascii="Tahoma" w:hAnsi="Tahoma" w:cs="Tahoma"/>
                <w:sz w:val="22"/>
                <w:szCs w:val="22"/>
              </w:rPr>
              <w:t xml:space="preserve">Cumulative </w:t>
            </w:r>
            <w:r w:rsidR="00433560" w:rsidRPr="00687500">
              <w:rPr>
                <w:rFonts w:ascii="Tahoma" w:hAnsi="Tahoma" w:cs="Tahoma"/>
                <w:sz w:val="22"/>
                <w:szCs w:val="22"/>
              </w:rPr>
              <w:t>12</w:t>
            </w:r>
            <w:r w:rsidR="00E01E52" w:rsidRPr="00687500">
              <w:rPr>
                <w:rFonts w:ascii="Tahoma" w:hAnsi="Tahoma" w:cs="Tahoma"/>
                <w:sz w:val="22"/>
                <w:szCs w:val="22"/>
              </w:rPr>
              <w:t xml:space="preserve"> </w:t>
            </w:r>
            <w:r w:rsidRPr="00687500">
              <w:rPr>
                <w:rFonts w:ascii="Tahoma" w:hAnsi="Tahoma" w:cs="Tahoma"/>
                <w:sz w:val="22"/>
                <w:szCs w:val="22"/>
              </w:rPr>
              <w:t>months ended</w:t>
            </w:r>
          </w:p>
        </w:tc>
      </w:tr>
      <w:tr w:rsidR="005829CC" w:rsidRPr="00687500">
        <w:trPr>
          <w:tblHeader/>
        </w:trPr>
        <w:tc>
          <w:tcPr>
            <w:tcW w:w="3108" w:type="dxa"/>
          </w:tcPr>
          <w:p w:rsidR="005829CC" w:rsidRPr="00687500" w:rsidRDefault="005829CC" w:rsidP="00C72DBF">
            <w:pPr>
              <w:jc w:val="both"/>
              <w:rPr>
                <w:rFonts w:ascii="Tahoma" w:hAnsi="Tahoma" w:cs="Tahoma"/>
                <w:sz w:val="22"/>
                <w:szCs w:val="22"/>
              </w:rPr>
            </w:pPr>
          </w:p>
        </w:tc>
        <w:tc>
          <w:tcPr>
            <w:tcW w:w="1680" w:type="dxa"/>
          </w:tcPr>
          <w:p w:rsidR="005829CC" w:rsidRPr="00687500" w:rsidRDefault="005829CC" w:rsidP="005829CC">
            <w:pPr>
              <w:jc w:val="both"/>
              <w:rPr>
                <w:rFonts w:ascii="Tahoma" w:hAnsi="Tahoma" w:cs="Tahoma"/>
                <w:sz w:val="22"/>
                <w:szCs w:val="22"/>
                <w:u w:val="single"/>
              </w:rPr>
            </w:pPr>
            <w:r w:rsidRPr="00687500">
              <w:rPr>
                <w:rFonts w:ascii="Tahoma" w:hAnsi="Tahoma" w:cs="Tahoma"/>
                <w:sz w:val="22"/>
                <w:szCs w:val="22"/>
              </w:rPr>
              <w:t xml:space="preserve">     </w:t>
            </w:r>
            <w:r w:rsidRPr="00687500">
              <w:rPr>
                <w:rFonts w:ascii="Tahoma" w:hAnsi="Tahoma" w:cs="Tahoma"/>
                <w:sz w:val="22"/>
                <w:szCs w:val="22"/>
                <w:u w:val="single"/>
              </w:rPr>
              <w:t>31.</w:t>
            </w:r>
            <w:r>
              <w:rPr>
                <w:rFonts w:ascii="Tahoma" w:hAnsi="Tahoma" w:cs="Tahoma"/>
                <w:sz w:val="22"/>
                <w:szCs w:val="22"/>
                <w:u w:val="single"/>
              </w:rPr>
              <w:t>03</w:t>
            </w:r>
            <w:r w:rsidRPr="00687500">
              <w:rPr>
                <w:rFonts w:ascii="Tahoma" w:hAnsi="Tahoma" w:cs="Tahoma"/>
                <w:sz w:val="22"/>
                <w:szCs w:val="22"/>
                <w:u w:val="single"/>
              </w:rPr>
              <w:t>.201</w:t>
            </w:r>
            <w:r>
              <w:rPr>
                <w:rFonts w:ascii="Tahoma" w:hAnsi="Tahoma" w:cs="Tahoma"/>
                <w:sz w:val="22"/>
                <w:szCs w:val="22"/>
                <w:u w:val="single"/>
              </w:rPr>
              <w:t>2</w:t>
            </w:r>
          </w:p>
        </w:tc>
        <w:tc>
          <w:tcPr>
            <w:tcW w:w="1560" w:type="dxa"/>
          </w:tcPr>
          <w:p w:rsidR="005829CC" w:rsidRPr="00687500" w:rsidRDefault="005829CC" w:rsidP="005829CC">
            <w:pPr>
              <w:jc w:val="both"/>
              <w:rPr>
                <w:rFonts w:ascii="Tahoma" w:hAnsi="Tahoma" w:cs="Tahoma"/>
                <w:sz w:val="22"/>
                <w:szCs w:val="22"/>
                <w:u w:val="single"/>
              </w:rPr>
            </w:pPr>
            <w:r w:rsidRPr="00687500">
              <w:rPr>
                <w:rFonts w:ascii="Tahoma" w:hAnsi="Tahoma" w:cs="Tahoma"/>
                <w:sz w:val="22"/>
                <w:szCs w:val="22"/>
                <w:u w:val="single"/>
              </w:rPr>
              <w:t>31.</w:t>
            </w:r>
            <w:r>
              <w:rPr>
                <w:rFonts w:ascii="Tahoma" w:hAnsi="Tahoma" w:cs="Tahoma"/>
                <w:sz w:val="22"/>
                <w:szCs w:val="22"/>
                <w:u w:val="single"/>
              </w:rPr>
              <w:t>03</w:t>
            </w:r>
            <w:r w:rsidRPr="00687500">
              <w:rPr>
                <w:rFonts w:ascii="Tahoma" w:hAnsi="Tahoma" w:cs="Tahoma"/>
                <w:sz w:val="22"/>
                <w:szCs w:val="22"/>
                <w:u w:val="single"/>
              </w:rPr>
              <w:t>.201</w:t>
            </w:r>
            <w:r>
              <w:rPr>
                <w:rFonts w:ascii="Tahoma" w:hAnsi="Tahoma" w:cs="Tahoma"/>
                <w:sz w:val="22"/>
                <w:szCs w:val="22"/>
                <w:u w:val="single"/>
              </w:rPr>
              <w:t>1</w:t>
            </w:r>
          </w:p>
        </w:tc>
        <w:tc>
          <w:tcPr>
            <w:tcW w:w="1680" w:type="dxa"/>
          </w:tcPr>
          <w:p w:rsidR="005829CC" w:rsidRPr="00687500" w:rsidRDefault="005829CC" w:rsidP="00B27ADC">
            <w:pPr>
              <w:jc w:val="both"/>
              <w:rPr>
                <w:rFonts w:ascii="Tahoma" w:hAnsi="Tahoma" w:cs="Tahoma"/>
                <w:sz w:val="22"/>
                <w:szCs w:val="22"/>
                <w:u w:val="single"/>
              </w:rPr>
            </w:pPr>
            <w:r w:rsidRPr="00687500">
              <w:rPr>
                <w:rFonts w:ascii="Tahoma" w:hAnsi="Tahoma" w:cs="Tahoma"/>
                <w:sz w:val="22"/>
                <w:szCs w:val="22"/>
              </w:rPr>
              <w:t xml:space="preserve">     </w:t>
            </w:r>
            <w:r w:rsidRPr="00687500">
              <w:rPr>
                <w:rFonts w:ascii="Tahoma" w:hAnsi="Tahoma" w:cs="Tahoma"/>
                <w:sz w:val="22"/>
                <w:szCs w:val="22"/>
                <w:u w:val="single"/>
              </w:rPr>
              <w:t>31.</w:t>
            </w:r>
            <w:r>
              <w:rPr>
                <w:rFonts w:ascii="Tahoma" w:hAnsi="Tahoma" w:cs="Tahoma"/>
                <w:sz w:val="22"/>
                <w:szCs w:val="22"/>
                <w:u w:val="single"/>
              </w:rPr>
              <w:t>03</w:t>
            </w:r>
            <w:r w:rsidRPr="00687500">
              <w:rPr>
                <w:rFonts w:ascii="Tahoma" w:hAnsi="Tahoma" w:cs="Tahoma"/>
                <w:sz w:val="22"/>
                <w:szCs w:val="22"/>
                <w:u w:val="single"/>
              </w:rPr>
              <w:t>.201</w:t>
            </w:r>
            <w:r>
              <w:rPr>
                <w:rFonts w:ascii="Tahoma" w:hAnsi="Tahoma" w:cs="Tahoma"/>
                <w:sz w:val="22"/>
                <w:szCs w:val="22"/>
                <w:u w:val="single"/>
              </w:rPr>
              <w:t>2</w:t>
            </w:r>
          </w:p>
        </w:tc>
        <w:tc>
          <w:tcPr>
            <w:tcW w:w="1800" w:type="dxa"/>
            <w:gridSpan w:val="2"/>
          </w:tcPr>
          <w:p w:rsidR="005829CC" w:rsidRPr="00687500" w:rsidRDefault="005829CC" w:rsidP="00B27ADC">
            <w:pPr>
              <w:jc w:val="both"/>
              <w:rPr>
                <w:rFonts w:ascii="Tahoma" w:hAnsi="Tahoma" w:cs="Tahoma"/>
                <w:sz w:val="22"/>
                <w:szCs w:val="22"/>
                <w:u w:val="single"/>
              </w:rPr>
            </w:pPr>
            <w:r w:rsidRPr="00687500">
              <w:rPr>
                <w:rFonts w:ascii="Tahoma" w:hAnsi="Tahoma" w:cs="Tahoma"/>
                <w:sz w:val="22"/>
                <w:szCs w:val="22"/>
                <w:u w:val="single"/>
              </w:rPr>
              <w:t>31.</w:t>
            </w:r>
            <w:r>
              <w:rPr>
                <w:rFonts w:ascii="Tahoma" w:hAnsi="Tahoma" w:cs="Tahoma"/>
                <w:sz w:val="22"/>
                <w:szCs w:val="22"/>
                <w:u w:val="single"/>
              </w:rPr>
              <w:t>03</w:t>
            </w:r>
            <w:r w:rsidRPr="00687500">
              <w:rPr>
                <w:rFonts w:ascii="Tahoma" w:hAnsi="Tahoma" w:cs="Tahoma"/>
                <w:sz w:val="22"/>
                <w:szCs w:val="22"/>
                <w:u w:val="single"/>
              </w:rPr>
              <w:t>.201</w:t>
            </w:r>
            <w:r>
              <w:rPr>
                <w:rFonts w:ascii="Tahoma" w:hAnsi="Tahoma" w:cs="Tahoma"/>
                <w:sz w:val="22"/>
                <w:szCs w:val="22"/>
                <w:u w:val="single"/>
              </w:rPr>
              <w:t>1</w:t>
            </w:r>
          </w:p>
        </w:tc>
      </w:tr>
      <w:tr w:rsidR="00291059" w:rsidRPr="00687500">
        <w:tc>
          <w:tcPr>
            <w:tcW w:w="3108" w:type="dxa"/>
          </w:tcPr>
          <w:p w:rsidR="00291059" w:rsidRPr="00687500" w:rsidRDefault="00291059" w:rsidP="00C72DBF">
            <w:pPr>
              <w:jc w:val="both"/>
              <w:rPr>
                <w:rFonts w:ascii="Tahoma" w:hAnsi="Tahoma" w:cs="Tahoma"/>
                <w:sz w:val="22"/>
                <w:szCs w:val="22"/>
              </w:rPr>
            </w:pPr>
          </w:p>
        </w:tc>
        <w:tc>
          <w:tcPr>
            <w:tcW w:w="1680" w:type="dxa"/>
          </w:tcPr>
          <w:p w:rsidR="00291059" w:rsidRPr="00687500" w:rsidRDefault="00291059" w:rsidP="00C72DBF">
            <w:pPr>
              <w:jc w:val="both"/>
              <w:rPr>
                <w:rFonts w:ascii="Tahoma" w:hAnsi="Tahoma" w:cs="Tahoma"/>
                <w:sz w:val="22"/>
                <w:szCs w:val="22"/>
              </w:rPr>
            </w:pPr>
          </w:p>
        </w:tc>
        <w:tc>
          <w:tcPr>
            <w:tcW w:w="1560" w:type="dxa"/>
          </w:tcPr>
          <w:p w:rsidR="00291059" w:rsidRPr="00687500" w:rsidRDefault="00291059" w:rsidP="00C72DBF">
            <w:pPr>
              <w:jc w:val="both"/>
              <w:rPr>
                <w:rFonts w:ascii="Tahoma" w:hAnsi="Tahoma" w:cs="Tahoma"/>
                <w:sz w:val="22"/>
                <w:szCs w:val="22"/>
              </w:rPr>
            </w:pPr>
          </w:p>
        </w:tc>
        <w:tc>
          <w:tcPr>
            <w:tcW w:w="1680" w:type="dxa"/>
          </w:tcPr>
          <w:p w:rsidR="00291059" w:rsidRPr="00687500" w:rsidRDefault="00291059" w:rsidP="00C72DBF">
            <w:pPr>
              <w:jc w:val="both"/>
              <w:rPr>
                <w:rFonts w:ascii="Tahoma" w:hAnsi="Tahoma" w:cs="Tahoma"/>
                <w:sz w:val="22"/>
                <w:szCs w:val="22"/>
              </w:rPr>
            </w:pPr>
          </w:p>
        </w:tc>
        <w:tc>
          <w:tcPr>
            <w:tcW w:w="1800" w:type="dxa"/>
            <w:gridSpan w:val="2"/>
          </w:tcPr>
          <w:p w:rsidR="00291059" w:rsidRPr="00687500" w:rsidRDefault="00291059" w:rsidP="00C72DBF">
            <w:pPr>
              <w:jc w:val="both"/>
              <w:rPr>
                <w:rFonts w:ascii="Tahoma" w:hAnsi="Tahoma" w:cs="Tahoma"/>
                <w:sz w:val="22"/>
                <w:szCs w:val="22"/>
              </w:rPr>
            </w:pPr>
          </w:p>
        </w:tc>
      </w:tr>
      <w:tr w:rsidR="00291059" w:rsidRPr="00687500">
        <w:tc>
          <w:tcPr>
            <w:tcW w:w="3108" w:type="dxa"/>
          </w:tcPr>
          <w:p w:rsidR="00291059" w:rsidRPr="00687500" w:rsidRDefault="00291059" w:rsidP="00C72DBF">
            <w:pPr>
              <w:jc w:val="both"/>
              <w:rPr>
                <w:rFonts w:ascii="Tahoma" w:hAnsi="Tahoma" w:cs="Tahoma"/>
                <w:sz w:val="22"/>
                <w:szCs w:val="22"/>
                <w:u w:val="single"/>
              </w:rPr>
            </w:pPr>
            <w:r w:rsidRPr="00687500">
              <w:rPr>
                <w:rFonts w:ascii="Tahoma" w:hAnsi="Tahoma" w:cs="Tahoma"/>
                <w:sz w:val="22"/>
                <w:szCs w:val="22"/>
                <w:u w:val="single"/>
              </w:rPr>
              <w:t xml:space="preserve">(a) Basic </w:t>
            </w:r>
            <w:r w:rsidR="00E01E52" w:rsidRPr="00687500">
              <w:rPr>
                <w:rFonts w:ascii="Tahoma" w:hAnsi="Tahoma" w:cs="Tahoma"/>
                <w:sz w:val="22"/>
                <w:szCs w:val="22"/>
                <w:u w:val="single"/>
              </w:rPr>
              <w:t>profit</w:t>
            </w:r>
            <w:r w:rsidRPr="00687500">
              <w:rPr>
                <w:rFonts w:ascii="Tahoma" w:hAnsi="Tahoma" w:cs="Tahoma"/>
                <w:sz w:val="22"/>
                <w:szCs w:val="22"/>
                <w:u w:val="single"/>
              </w:rPr>
              <w:t xml:space="preserve"> per share</w:t>
            </w:r>
          </w:p>
        </w:tc>
        <w:tc>
          <w:tcPr>
            <w:tcW w:w="1680" w:type="dxa"/>
          </w:tcPr>
          <w:p w:rsidR="00291059" w:rsidRPr="00687500" w:rsidRDefault="00291059" w:rsidP="00C72DBF">
            <w:pPr>
              <w:jc w:val="both"/>
              <w:rPr>
                <w:rFonts w:ascii="Tahoma" w:hAnsi="Tahoma" w:cs="Tahoma"/>
                <w:sz w:val="22"/>
                <w:szCs w:val="22"/>
              </w:rPr>
            </w:pPr>
          </w:p>
        </w:tc>
        <w:tc>
          <w:tcPr>
            <w:tcW w:w="1560" w:type="dxa"/>
          </w:tcPr>
          <w:p w:rsidR="00291059" w:rsidRPr="00687500" w:rsidRDefault="00291059" w:rsidP="00C72DBF">
            <w:pPr>
              <w:jc w:val="both"/>
              <w:rPr>
                <w:rFonts w:ascii="Tahoma" w:hAnsi="Tahoma" w:cs="Tahoma"/>
                <w:sz w:val="22"/>
                <w:szCs w:val="22"/>
              </w:rPr>
            </w:pPr>
          </w:p>
        </w:tc>
        <w:tc>
          <w:tcPr>
            <w:tcW w:w="1680" w:type="dxa"/>
          </w:tcPr>
          <w:p w:rsidR="00291059" w:rsidRPr="00687500" w:rsidRDefault="00291059" w:rsidP="00C72DBF">
            <w:pPr>
              <w:jc w:val="both"/>
              <w:rPr>
                <w:rFonts w:ascii="Tahoma" w:hAnsi="Tahoma" w:cs="Tahoma"/>
                <w:sz w:val="22"/>
                <w:szCs w:val="22"/>
              </w:rPr>
            </w:pPr>
          </w:p>
        </w:tc>
        <w:tc>
          <w:tcPr>
            <w:tcW w:w="1800" w:type="dxa"/>
            <w:gridSpan w:val="2"/>
          </w:tcPr>
          <w:p w:rsidR="00291059" w:rsidRPr="00687500" w:rsidRDefault="00291059" w:rsidP="00C72DBF">
            <w:pPr>
              <w:jc w:val="both"/>
              <w:rPr>
                <w:rFonts w:ascii="Tahoma" w:hAnsi="Tahoma" w:cs="Tahoma"/>
                <w:sz w:val="22"/>
                <w:szCs w:val="22"/>
              </w:rPr>
            </w:pPr>
          </w:p>
        </w:tc>
      </w:tr>
      <w:tr w:rsidR="00291059" w:rsidRPr="00687500">
        <w:tc>
          <w:tcPr>
            <w:tcW w:w="3108" w:type="dxa"/>
          </w:tcPr>
          <w:p w:rsidR="00291059" w:rsidRPr="00687500" w:rsidRDefault="00291059" w:rsidP="00C72DBF">
            <w:pPr>
              <w:jc w:val="both"/>
              <w:rPr>
                <w:rFonts w:ascii="Tahoma" w:hAnsi="Tahoma" w:cs="Tahoma"/>
                <w:sz w:val="22"/>
                <w:szCs w:val="22"/>
              </w:rPr>
            </w:pPr>
          </w:p>
        </w:tc>
        <w:tc>
          <w:tcPr>
            <w:tcW w:w="1680" w:type="dxa"/>
          </w:tcPr>
          <w:p w:rsidR="00291059" w:rsidRPr="00687500" w:rsidRDefault="00291059" w:rsidP="00C72DBF">
            <w:pPr>
              <w:jc w:val="both"/>
              <w:rPr>
                <w:rFonts w:ascii="Tahoma" w:hAnsi="Tahoma" w:cs="Tahoma"/>
                <w:sz w:val="22"/>
                <w:szCs w:val="22"/>
              </w:rPr>
            </w:pPr>
          </w:p>
        </w:tc>
        <w:tc>
          <w:tcPr>
            <w:tcW w:w="1560" w:type="dxa"/>
          </w:tcPr>
          <w:p w:rsidR="00291059" w:rsidRPr="00687500" w:rsidRDefault="00291059" w:rsidP="00C72DBF">
            <w:pPr>
              <w:jc w:val="both"/>
              <w:rPr>
                <w:rFonts w:ascii="Tahoma" w:hAnsi="Tahoma" w:cs="Tahoma"/>
                <w:sz w:val="22"/>
                <w:szCs w:val="22"/>
              </w:rPr>
            </w:pPr>
          </w:p>
        </w:tc>
        <w:tc>
          <w:tcPr>
            <w:tcW w:w="1680" w:type="dxa"/>
          </w:tcPr>
          <w:p w:rsidR="00291059" w:rsidRPr="00687500" w:rsidRDefault="00291059" w:rsidP="00C72DBF">
            <w:pPr>
              <w:jc w:val="both"/>
              <w:rPr>
                <w:rFonts w:ascii="Tahoma" w:hAnsi="Tahoma" w:cs="Tahoma"/>
                <w:sz w:val="22"/>
                <w:szCs w:val="22"/>
              </w:rPr>
            </w:pPr>
          </w:p>
        </w:tc>
        <w:tc>
          <w:tcPr>
            <w:tcW w:w="1800" w:type="dxa"/>
            <w:gridSpan w:val="2"/>
          </w:tcPr>
          <w:p w:rsidR="00291059" w:rsidRPr="00687500" w:rsidRDefault="00291059" w:rsidP="00C72DBF">
            <w:pPr>
              <w:jc w:val="both"/>
              <w:rPr>
                <w:rFonts w:ascii="Tahoma" w:hAnsi="Tahoma" w:cs="Tahoma"/>
                <w:sz w:val="22"/>
                <w:szCs w:val="22"/>
              </w:rPr>
            </w:pPr>
          </w:p>
        </w:tc>
      </w:tr>
      <w:tr w:rsidR="005829CC" w:rsidRPr="00687500">
        <w:tc>
          <w:tcPr>
            <w:tcW w:w="3108" w:type="dxa"/>
          </w:tcPr>
          <w:p w:rsidR="005829CC" w:rsidRPr="00687500" w:rsidRDefault="005829CC" w:rsidP="00C72DBF">
            <w:pPr>
              <w:jc w:val="both"/>
              <w:rPr>
                <w:rFonts w:ascii="Tahoma" w:hAnsi="Tahoma" w:cs="Tahoma"/>
                <w:sz w:val="22"/>
                <w:szCs w:val="22"/>
              </w:rPr>
            </w:pPr>
            <w:r w:rsidRPr="00687500">
              <w:rPr>
                <w:rFonts w:ascii="Tahoma" w:hAnsi="Tahoma" w:cs="Tahoma"/>
                <w:sz w:val="22"/>
                <w:szCs w:val="22"/>
              </w:rPr>
              <w:t>Net profit/(loss) for the period (RM’000)</w:t>
            </w:r>
          </w:p>
          <w:p w:rsidR="005829CC" w:rsidRPr="00687500" w:rsidRDefault="005829CC" w:rsidP="00C72DBF">
            <w:pPr>
              <w:jc w:val="both"/>
              <w:rPr>
                <w:rFonts w:ascii="Tahoma" w:hAnsi="Tahoma" w:cs="Tahoma"/>
                <w:sz w:val="22"/>
                <w:szCs w:val="22"/>
              </w:rPr>
            </w:pPr>
          </w:p>
        </w:tc>
        <w:tc>
          <w:tcPr>
            <w:tcW w:w="1680" w:type="dxa"/>
          </w:tcPr>
          <w:p w:rsidR="005829CC" w:rsidRPr="00687500" w:rsidRDefault="005829CC" w:rsidP="005829CC">
            <w:pPr>
              <w:jc w:val="right"/>
              <w:rPr>
                <w:rFonts w:ascii="Tahoma" w:hAnsi="Tahoma" w:cs="Tahoma"/>
                <w:sz w:val="22"/>
                <w:szCs w:val="22"/>
              </w:rPr>
            </w:pPr>
            <w:r w:rsidRPr="00687500">
              <w:rPr>
                <w:rFonts w:ascii="Tahoma" w:hAnsi="Tahoma" w:cs="Tahoma"/>
                <w:sz w:val="22"/>
                <w:szCs w:val="22"/>
              </w:rPr>
              <w:t>(</w:t>
            </w:r>
            <w:r>
              <w:rPr>
                <w:rFonts w:ascii="Tahoma" w:hAnsi="Tahoma" w:cs="Tahoma"/>
                <w:sz w:val="22"/>
                <w:szCs w:val="22"/>
              </w:rPr>
              <w:t>645</w:t>
            </w:r>
            <w:r w:rsidRPr="00687500">
              <w:rPr>
                <w:rFonts w:ascii="Tahoma" w:hAnsi="Tahoma" w:cs="Tahoma"/>
                <w:sz w:val="22"/>
                <w:szCs w:val="22"/>
              </w:rPr>
              <w:t>)</w:t>
            </w:r>
          </w:p>
        </w:tc>
        <w:tc>
          <w:tcPr>
            <w:tcW w:w="1560" w:type="dxa"/>
          </w:tcPr>
          <w:p w:rsidR="005829CC" w:rsidRPr="00687500" w:rsidRDefault="005829CC" w:rsidP="00F154E6">
            <w:pPr>
              <w:jc w:val="right"/>
              <w:rPr>
                <w:rFonts w:ascii="Tahoma" w:hAnsi="Tahoma" w:cs="Tahoma"/>
                <w:sz w:val="22"/>
                <w:szCs w:val="22"/>
              </w:rPr>
            </w:pPr>
            <w:r>
              <w:rPr>
                <w:rFonts w:ascii="Tahoma" w:hAnsi="Tahoma" w:cs="Tahoma"/>
                <w:sz w:val="22"/>
                <w:szCs w:val="22"/>
              </w:rPr>
              <w:t>333</w:t>
            </w:r>
          </w:p>
        </w:tc>
        <w:tc>
          <w:tcPr>
            <w:tcW w:w="1680" w:type="dxa"/>
          </w:tcPr>
          <w:p w:rsidR="005829CC" w:rsidRPr="00687500" w:rsidRDefault="005829CC" w:rsidP="00B27ADC">
            <w:pPr>
              <w:jc w:val="right"/>
              <w:rPr>
                <w:rFonts w:ascii="Tahoma" w:hAnsi="Tahoma" w:cs="Tahoma"/>
                <w:sz w:val="22"/>
                <w:szCs w:val="22"/>
              </w:rPr>
            </w:pPr>
            <w:r w:rsidRPr="00687500">
              <w:rPr>
                <w:rFonts w:ascii="Tahoma" w:hAnsi="Tahoma" w:cs="Tahoma"/>
                <w:sz w:val="22"/>
                <w:szCs w:val="22"/>
              </w:rPr>
              <w:t>(</w:t>
            </w:r>
            <w:r>
              <w:rPr>
                <w:rFonts w:ascii="Tahoma" w:hAnsi="Tahoma" w:cs="Tahoma"/>
                <w:sz w:val="22"/>
                <w:szCs w:val="22"/>
              </w:rPr>
              <w:t>645</w:t>
            </w:r>
            <w:r w:rsidRPr="00687500">
              <w:rPr>
                <w:rFonts w:ascii="Tahoma" w:hAnsi="Tahoma" w:cs="Tahoma"/>
                <w:sz w:val="22"/>
                <w:szCs w:val="22"/>
              </w:rPr>
              <w:t>)</w:t>
            </w:r>
          </w:p>
        </w:tc>
        <w:tc>
          <w:tcPr>
            <w:tcW w:w="1800" w:type="dxa"/>
            <w:gridSpan w:val="2"/>
          </w:tcPr>
          <w:p w:rsidR="005829CC" w:rsidRPr="00687500" w:rsidRDefault="005829CC" w:rsidP="00B27ADC">
            <w:pPr>
              <w:jc w:val="right"/>
              <w:rPr>
                <w:rFonts w:ascii="Tahoma" w:hAnsi="Tahoma" w:cs="Tahoma"/>
                <w:sz w:val="22"/>
                <w:szCs w:val="22"/>
              </w:rPr>
            </w:pPr>
            <w:r>
              <w:rPr>
                <w:rFonts w:ascii="Tahoma" w:hAnsi="Tahoma" w:cs="Tahoma"/>
                <w:sz w:val="22"/>
                <w:szCs w:val="22"/>
              </w:rPr>
              <w:t>333</w:t>
            </w:r>
          </w:p>
        </w:tc>
      </w:tr>
      <w:tr w:rsidR="005829CC" w:rsidRPr="00687500">
        <w:tc>
          <w:tcPr>
            <w:tcW w:w="3108" w:type="dxa"/>
          </w:tcPr>
          <w:p w:rsidR="005829CC" w:rsidRPr="00687500" w:rsidRDefault="005829CC" w:rsidP="00C72DBF">
            <w:pPr>
              <w:jc w:val="both"/>
              <w:rPr>
                <w:rFonts w:ascii="Tahoma" w:hAnsi="Tahoma" w:cs="Tahoma"/>
                <w:sz w:val="22"/>
                <w:szCs w:val="22"/>
              </w:rPr>
            </w:pPr>
            <w:r w:rsidRPr="00687500">
              <w:rPr>
                <w:rFonts w:ascii="Tahoma" w:hAnsi="Tahoma" w:cs="Tahoma"/>
                <w:sz w:val="22"/>
                <w:szCs w:val="22"/>
              </w:rPr>
              <w:t>Weighted average number of ordinary shares in issue (‘000)</w:t>
            </w:r>
          </w:p>
          <w:p w:rsidR="005829CC" w:rsidRPr="00687500" w:rsidRDefault="005829CC" w:rsidP="00C72DBF">
            <w:pPr>
              <w:jc w:val="both"/>
              <w:rPr>
                <w:rFonts w:ascii="Tahoma" w:hAnsi="Tahoma" w:cs="Tahoma"/>
                <w:sz w:val="22"/>
                <w:szCs w:val="22"/>
              </w:rPr>
            </w:pPr>
          </w:p>
        </w:tc>
        <w:tc>
          <w:tcPr>
            <w:tcW w:w="1680" w:type="dxa"/>
          </w:tcPr>
          <w:p w:rsidR="005829CC" w:rsidRPr="00687500" w:rsidRDefault="005829CC" w:rsidP="00F154E6">
            <w:pPr>
              <w:jc w:val="right"/>
              <w:rPr>
                <w:rFonts w:ascii="Tahoma" w:hAnsi="Tahoma" w:cs="Tahoma"/>
                <w:sz w:val="22"/>
                <w:szCs w:val="22"/>
              </w:rPr>
            </w:pPr>
            <w:r w:rsidRPr="00687500">
              <w:rPr>
                <w:rFonts w:ascii="Tahoma" w:hAnsi="Tahoma" w:cs="Tahoma"/>
                <w:sz w:val="22"/>
                <w:szCs w:val="22"/>
              </w:rPr>
              <w:t>50,000</w:t>
            </w:r>
          </w:p>
        </w:tc>
        <w:tc>
          <w:tcPr>
            <w:tcW w:w="1560" w:type="dxa"/>
          </w:tcPr>
          <w:p w:rsidR="005829CC" w:rsidRPr="00687500" w:rsidRDefault="005829CC" w:rsidP="00F154E6">
            <w:pPr>
              <w:jc w:val="right"/>
              <w:rPr>
                <w:rFonts w:ascii="Tahoma" w:hAnsi="Tahoma" w:cs="Tahoma"/>
                <w:sz w:val="22"/>
                <w:szCs w:val="22"/>
              </w:rPr>
            </w:pPr>
            <w:r w:rsidRPr="00687500">
              <w:rPr>
                <w:rFonts w:ascii="Tahoma" w:hAnsi="Tahoma" w:cs="Tahoma"/>
                <w:sz w:val="22"/>
                <w:szCs w:val="22"/>
              </w:rPr>
              <w:t>50,000</w:t>
            </w:r>
          </w:p>
        </w:tc>
        <w:tc>
          <w:tcPr>
            <w:tcW w:w="1680" w:type="dxa"/>
          </w:tcPr>
          <w:p w:rsidR="005829CC" w:rsidRPr="00687500" w:rsidRDefault="005829CC" w:rsidP="00B27ADC">
            <w:pPr>
              <w:jc w:val="right"/>
              <w:rPr>
                <w:rFonts w:ascii="Tahoma" w:hAnsi="Tahoma" w:cs="Tahoma"/>
                <w:sz w:val="22"/>
                <w:szCs w:val="22"/>
              </w:rPr>
            </w:pPr>
            <w:r w:rsidRPr="00687500">
              <w:rPr>
                <w:rFonts w:ascii="Tahoma" w:hAnsi="Tahoma" w:cs="Tahoma"/>
                <w:sz w:val="22"/>
                <w:szCs w:val="22"/>
              </w:rPr>
              <w:t>50,000</w:t>
            </w:r>
          </w:p>
        </w:tc>
        <w:tc>
          <w:tcPr>
            <w:tcW w:w="1800" w:type="dxa"/>
            <w:gridSpan w:val="2"/>
          </w:tcPr>
          <w:p w:rsidR="005829CC" w:rsidRPr="00687500" w:rsidRDefault="005829CC" w:rsidP="00B27ADC">
            <w:pPr>
              <w:jc w:val="right"/>
              <w:rPr>
                <w:rFonts w:ascii="Tahoma" w:hAnsi="Tahoma" w:cs="Tahoma"/>
                <w:sz w:val="22"/>
                <w:szCs w:val="22"/>
              </w:rPr>
            </w:pPr>
            <w:r w:rsidRPr="00687500">
              <w:rPr>
                <w:rFonts w:ascii="Tahoma" w:hAnsi="Tahoma" w:cs="Tahoma"/>
                <w:sz w:val="22"/>
                <w:szCs w:val="22"/>
              </w:rPr>
              <w:t>50,000</w:t>
            </w:r>
          </w:p>
        </w:tc>
      </w:tr>
      <w:tr w:rsidR="005829CC" w:rsidRPr="00687500">
        <w:tc>
          <w:tcPr>
            <w:tcW w:w="3108" w:type="dxa"/>
          </w:tcPr>
          <w:p w:rsidR="005829CC" w:rsidRPr="00687500" w:rsidRDefault="005829CC" w:rsidP="00C72DBF">
            <w:pPr>
              <w:jc w:val="both"/>
              <w:rPr>
                <w:rFonts w:ascii="Tahoma" w:hAnsi="Tahoma" w:cs="Tahoma"/>
                <w:sz w:val="22"/>
                <w:szCs w:val="22"/>
              </w:rPr>
            </w:pPr>
            <w:r w:rsidRPr="00687500">
              <w:rPr>
                <w:rFonts w:ascii="Tahoma" w:hAnsi="Tahoma" w:cs="Tahoma"/>
                <w:sz w:val="22"/>
                <w:szCs w:val="22"/>
              </w:rPr>
              <w:t>Basic earnings/(loss) per share (</w:t>
            </w:r>
            <w:proofErr w:type="spellStart"/>
            <w:r w:rsidRPr="00687500">
              <w:rPr>
                <w:rFonts w:ascii="Tahoma" w:hAnsi="Tahoma" w:cs="Tahoma"/>
                <w:sz w:val="22"/>
                <w:szCs w:val="22"/>
              </w:rPr>
              <w:t>sen</w:t>
            </w:r>
            <w:proofErr w:type="spellEnd"/>
            <w:r w:rsidRPr="00687500">
              <w:rPr>
                <w:rFonts w:ascii="Tahoma" w:hAnsi="Tahoma" w:cs="Tahoma"/>
                <w:sz w:val="22"/>
                <w:szCs w:val="22"/>
              </w:rPr>
              <w:t>)</w:t>
            </w:r>
          </w:p>
        </w:tc>
        <w:tc>
          <w:tcPr>
            <w:tcW w:w="1680" w:type="dxa"/>
          </w:tcPr>
          <w:p w:rsidR="005829CC" w:rsidRPr="00687500" w:rsidRDefault="005829CC" w:rsidP="005829CC">
            <w:pPr>
              <w:jc w:val="right"/>
              <w:rPr>
                <w:rFonts w:ascii="Tahoma" w:hAnsi="Tahoma" w:cs="Tahoma"/>
                <w:sz w:val="22"/>
                <w:szCs w:val="22"/>
              </w:rPr>
            </w:pPr>
            <w:r w:rsidRPr="00687500">
              <w:rPr>
                <w:rFonts w:ascii="Tahoma" w:hAnsi="Tahoma" w:cs="Tahoma"/>
                <w:sz w:val="22"/>
                <w:szCs w:val="22"/>
              </w:rPr>
              <w:t>(0.</w:t>
            </w:r>
            <w:r>
              <w:rPr>
                <w:rFonts w:ascii="Tahoma" w:hAnsi="Tahoma" w:cs="Tahoma"/>
                <w:sz w:val="22"/>
                <w:szCs w:val="22"/>
              </w:rPr>
              <w:t>01</w:t>
            </w:r>
            <w:r w:rsidRPr="00687500">
              <w:rPr>
                <w:rFonts w:ascii="Tahoma" w:hAnsi="Tahoma" w:cs="Tahoma"/>
                <w:sz w:val="22"/>
                <w:szCs w:val="22"/>
              </w:rPr>
              <w:t>)</w:t>
            </w:r>
          </w:p>
        </w:tc>
        <w:tc>
          <w:tcPr>
            <w:tcW w:w="1560" w:type="dxa"/>
          </w:tcPr>
          <w:p w:rsidR="005829CC" w:rsidRPr="00687500" w:rsidRDefault="005829CC" w:rsidP="00F154E6">
            <w:pPr>
              <w:jc w:val="right"/>
              <w:rPr>
                <w:rFonts w:ascii="Tahoma" w:hAnsi="Tahoma" w:cs="Tahoma"/>
                <w:sz w:val="22"/>
                <w:szCs w:val="22"/>
              </w:rPr>
            </w:pPr>
            <w:r>
              <w:rPr>
                <w:rFonts w:ascii="Tahoma" w:hAnsi="Tahoma" w:cs="Tahoma"/>
                <w:sz w:val="22"/>
                <w:szCs w:val="22"/>
              </w:rPr>
              <w:t>0.01</w:t>
            </w:r>
          </w:p>
        </w:tc>
        <w:tc>
          <w:tcPr>
            <w:tcW w:w="1680" w:type="dxa"/>
          </w:tcPr>
          <w:p w:rsidR="005829CC" w:rsidRPr="00687500" w:rsidRDefault="005829CC" w:rsidP="00B27ADC">
            <w:pPr>
              <w:jc w:val="right"/>
              <w:rPr>
                <w:rFonts w:ascii="Tahoma" w:hAnsi="Tahoma" w:cs="Tahoma"/>
                <w:sz w:val="22"/>
                <w:szCs w:val="22"/>
              </w:rPr>
            </w:pPr>
            <w:r w:rsidRPr="00687500">
              <w:rPr>
                <w:rFonts w:ascii="Tahoma" w:hAnsi="Tahoma" w:cs="Tahoma"/>
                <w:sz w:val="22"/>
                <w:szCs w:val="22"/>
              </w:rPr>
              <w:t>(0.</w:t>
            </w:r>
            <w:r>
              <w:rPr>
                <w:rFonts w:ascii="Tahoma" w:hAnsi="Tahoma" w:cs="Tahoma"/>
                <w:sz w:val="22"/>
                <w:szCs w:val="22"/>
              </w:rPr>
              <w:t>01</w:t>
            </w:r>
            <w:r w:rsidRPr="00687500">
              <w:rPr>
                <w:rFonts w:ascii="Tahoma" w:hAnsi="Tahoma" w:cs="Tahoma"/>
                <w:sz w:val="22"/>
                <w:szCs w:val="22"/>
              </w:rPr>
              <w:t>)</w:t>
            </w:r>
          </w:p>
        </w:tc>
        <w:tc>
          <w:tcPr>
            <w:tcW w:w="1800" w:type="dxa"/>
            <w:gridSpan w:val="2"/>
          </w:tcPr>
          <w:p w:rsidR="005829CC" w:rsidRPr="00687500" w:rsidRDefault="005829CC" w:rsidP="00B27ADC">
            <w:pPr>
              <w:jc w:val="right"/>
              <w:rPr>
                <w:rFonts w:ascii="Tahoma" w:hAnsi="Tahoma" w:cs="Tahoma"/>
                <w:sz w:val="22"/>
                <w:szCs w:val="22"/>
              </w:rPr>
            </w:pPr>
            <w:r>
              <w:rPr>
                <w:rFonts w:ascii="Tahoma" w:hAnsi="Tahoma" w:cs="Tahoma"/>
                <w:sz w:val="22"/>
                <w:szCs w:val="22"/>
              </w:rPr>
              <w:t>0.01</w:t>
            </w:r>
          </w:p>
        </w:tc>
      </w:tr>
      <w:tr w:rsidR="00291059" w:rsidRPr="00687500">
        <w:tc>
          <w:tcPr>
            <w:tcW w:w="3108" w:type="dxa"/>
          </w:tcPr>
          <w:p w:rsidR="00291059" w:rsidRDefault="00291059" w:rsidP="00C72DBF">
            <w:pPr>
              <w:jc w:val="both"/>
              <w:rPr>
                <w:rFonts w:ascii="Tahoma" w:hAnsi="Tahoma" w:cs="Tahoma"/>
                <w:sz w:val="22"/>
                <w:szCs w:val="22"/>
              </w:rPr>
            </w:pPr>
          </w:p>
          <w:p w:rsidR="003F4538" w:rsidRDefault="003F4538" w:rsidP="00C72DBF">
            <w:pPr>
              <w:jc w:val="both"/>
              <w:rPr>
                <w:rFonts w:ascii="Tahoma" w:hAnsi="Tahoma" w:cs="Tahoma"/>
                <w:sz w:val="22"/>
                <w:szCs w:val="22"/>
              </w:rPr>
            </w:pPr>
          </w:p>
          <w:p w:rsidR="003F4538" w:rsidRPr="00687500" w:rsidRDefault="003F4538" w:rsidP="00C72DBF">
            <w:pPr>
              <w:jc w:val="both"/>
              <w:rPr>
                <w:rFonts w:ascii="Tahoma" w:hAnsi="Tahoma" w:cs="Tahoma"/>
                <w:sz w:val="22"/>
                <w:szCs w:val="22"/>
              </w:rPr>
            </w:pPr>
          </w:p>
        </w:tc>
        <w:tc>
          <w:tcPr>
            <w:tcW w:w="1680" w:type="dxa"/>
          </w:tcPr>
          <w:p w:rsidR="00291059" w:rsidRPr="00687500" w:rsidRDefault="00291059" w:rsidP="00F154E6">
            <w:pPr>
              <w:jc w:val="right"/>
              <w:rPr>
                <w:rFonts w:ascii="Tahoma" w:hAnsi="Tahoma" w:cs="Tahoma"/>
                <w:sz w:val="22"/>
                <w:szCs w:val="22"/>
              </w:rPr>
            </w:pPr>
          </w:p>
        </w:tc>
        <w:tc>
          <w:tcPr>
            <w:tcW w:w="1560" w:type="dxa"/>
          </w:tcPr>
          <w:p w:rsidR="00291059" w:rsidRPr="00687500" w:rsidRDefault="00291059" w:rsidP="00F154E6">
            <w:pPr>
              <w:jc w:val="right"/>
              <w:rPr>
                <w:rFonts w:ascii="Tahoma" w:hAnsi="Tahoma" w:cs="Tahoma"/>
                <w:sz w:val="22"/>
                <w:szCs w:val="22"/>
              </w:rPr>
            </w:pPr>
          </w:p>
        </w:tc>
        <w:tc>
          <w:tcPr>
            <w:tcW w:w="1680" w:type="dxa"/>
          </w:tcPr>
          <w:p w:rsidR="00291059" w:rsidRPr="00687500" w:rsidRDefault="00291059" w:rsidP="00F154E6">
            <w:pPr>
              <w:jc w:val="right"/>
              <w:rPr>
                <w:rFonts w:ascii="Tahoma" w:hAnsi="Tahoma" w:cs="Tahoma"/>
                <w:sz w:val="22"/>
                <w:szCs w:val="22"/>
              </w:rPr>
            </w:pPr>
          </w:p>
        </w:tc>
        <w:tc>
          <w:tcPr>
            <w:tcW w:w="1800" w:type="dxa"/>
            <w:gridSpan w:val="2"/>
          </w:tcPr>
          <w:p w:rsidR="00291059" w:rsidRPr="00687500" w:rsidRDefault="00291059" w:rsidP="00F154E6">
            <w:pPr>
              <w:jc w:val="right"/>
              <w:rPr>
                <w:rFonts w:ascii="Tahoma" w:hAnsi="Tahoma" w:cs="Tahoma"/>
                <w:sz w:val="22"/>
                <w:szCs w:val="22"/>
              </w:rPr>
            </w:pPr>
          </w:p>
        </w:tc>
      </w:tr>
      <w:tr w:rsidR="00291059" w:rsidRPr="00687500">
        <w:tc>
          <w:tcPr>
            <w:tcW w:w="3108" w:type="dxa"/>
          </w:tcPr>
          <w:p w:rsidR="00291059" w:rsidRPr="00687500" w:rsidRDefault="00291059" w:rsidP="00C72DBF">
            <w:pPr>
              <w:jc w:val="both"/>
              <w:rPr>
                <w:rFonts w:ascii="Tahoma" w:hAnsi="Tahoma" w:cs="Tahoma"/>
                <w:sz w:val="22"/>
                <w:szCs w:val="22"/>
              </w:rPr>
            </w:pPr>
          </w:p>
        </w:tc>
        <w:tc>
          <w:tcPr>
            <w:tcW w:w="1680" w:type="dxa"/>
          </w:tcPr>
          <w:p w:rsidR="00291059" w:rsidRPr="00687500" w:rsidRDefault="00291059" w:rsidP="00F154E6">
            <w:pPr>
              <w:jc w:val="right"/>
              <w:rPr>
                <w:rFonts w:ascii="Tahoma" w:hAnsi="Tahoma" w:cs="Tahoma"/>
                <w:sz w:val="22"/>
                <w:szCs w:val="22"/>
              </w:rPr>
            </w:pPr>
          </w:p>
        </w:tc>
        <w:tc>
          <w:tcPr>
            <w:tcW w:w="1560" w:type="dxa"/>
          </w:tcPr>
          <w:p w:rsidR="00291059" w:rsidRPr="00687500" w:rsidRDefault="00291059" w:rsidP="00F154E6">
            <w:pPr>
              <w:jc w:val="right"/>
              <w:rPr>
                <w:rFonts w:ascii="Tahoma" w:hAnsi="Tahoma" w:cs="Tahoma"/>
                <w:sz w:val="22"/>
                <w:szCs w:val="22"/>
              </w:rPr>
            </w:pPr>
          </w:p>
        </w:tc>
        <w:tc>
          <w:tcPr>
            <w:tcW w:w="1680" w:type="dxa"/>
          </w:tcPr>
          <w:p w:rsidR="00291059" w:rsidRPr="00687500" w:rsidRDefault="00291059" w:rsidP="00F154E6">
            <w:pPr>
              <w:jc w:val="right"/>
              <w:rPr>
                <w:rFonts w:ascii="Tahoma" w:hAnsi="Tahoma" w:cs="Tahoma"/>
                <w:sz w:val="22"/>
                <w:szCs w:val="22"/>
              </w:rPr>
            </w:pPr>
          </w:p>
        </w:tc>
        <w:tc>
          <w:tcPr>
            <w:tcW w:w="1800" w:type="dxa"/>
            <w:gridSpan w:val="2"/>
          </w:tcPr>
          <w:p w:rsidR="00291059" w:rsidRPr="00687500" w:rsidRDefault="00291059" w:rsidP="00F154E6">
            <w:pPr>
              <w:jc w:val="right"/>
              <w:rPr>
                <w:rFonts w:ascii="Tahoma" w:hAnsi="Tahoma" w:cs="Tahoma"/>
                <w:sz w:val="22"/>
                <w:szCs w:val="22"/>
              </w:rPr>
            </w:pPr>
          </w:p>
        </w:tc>
      </w:tr>
      <w:tr w:rsidR="00291059" w:rsidRPr="00687500">
        <w:tc>
          <w:tcPr>
            <w:tcW w:w="3108" w:type="dxa"/>
          </w:tcPr>
          <w:p w:rsidR="00291059" w:rsidRPr="00687500" w:rsidRDefault="00291059" w:rsidP="00C72DBF">
            <w:pPr>
              <w:jc w:val="both"/>
              <w:rPr>
                <w:rFonts w:ascii="Tahoma" w:hAnsi="Tahoma" w:cs="Tahoma"/>
                <w:sz w:val="22"/>
                <w:szCs w:val="22"/>
              </w:rPr>
            </w:pPr>
            <w:r w:rsidRPr="00687500">
              <w:rPr>
                <w:rFonts w:ascii="Tahoma" w:hAnsi="Tahoma" w:cs="Tahoma"/>
                <w:sz w:val="22"/>
                <w:szCs w:val="22"/>
              </w:rPr>
              <w:t>(</w:t>
            </w:r>
            <w:r w:rsidRPr="00687500">
              <w:rPr>
                <w:rFonts w:ascii="Tahoma" w:hAnsi="Tahoma" w:cs="Tahoma"/>
                <w:sz w:val="22"/>
                <w:szCs w:val="22"/>
                <w:u w:val="single"/>
              </w:rPr>
              <w:t>b) Diluted earnings per share</w:t>
            </w:r>
          </w:p>
        </w:tc>
        <w:tc>
          <w:tcPr>
            <w:tcW w:w="1680" w:type="dxa"/>
          </w:tcPr>
          <w:p w:rsidR="00291059" w:rsidRPr="00687500" w:rsidRDefault="00291059" w:rsidP="00C72DBF">
            <w:pPr>
              <w:jc w:val="both"/>
              <w:rPr>
                <w:rFonts w:ascii="Tahoma" w:hAnsi="Tahoma" w:cs="Tahoma"/>
                <w:sz w:val="22"/>
                <w:szCs w:val="22"/>
              </w:rPr>
            </w:pPr>
          </w:p>
        </w:tc>
        <w:tc>
          <w:tcPr>
            <w:tcW w:w="1560" w:type="dxa"/>
          </w:tcPr>
          <w:p w:rsidR="00291059" w:rsidRPr="00687500" w:rsidRDefault="00291059" w:rsidP="00C72DBF">
            <w:pPr>
              <w:jc w:val="both"/>
              <w:rPr>
                <w:rFonts w:ascii="Tahoma" w:hAnsi="Tahoma" w:cs="Tahoma"/>
                <w:sz w:val="22"/>
                <w:szCs w:val="22"/>
              </w:rPr>
            </w:pPr>
          </w:p>
        </w:tc>
        <w:tc>
          <w:tcPr>
            <w:tcW w:w="1680" w:type="dxa"/>
          </w:tcPr>
          <w:p w:rsidR="00291059" w:rsidRPr="00687500" w:rsidRDefault="00291059" w:rsidP="00C72DBF">
            <w:pPr>
              <w:jc w:val="both"/>
              <w:rPr>
                <w:rFonts w:ascii="Tahoma" w:hAnsi="Tahoma" w:cs="Tahoma"/>
                <w:sz w:val="22"/>
                <w:szCs w:val="22"/>
              </w:rPr>
            </w:pPr>
          </w:p>
        </w:tc>
        <w:tc>
          <w:tcPr>
            <w:tcW w:w="1800" w:type="dxa"/>
            <w:gridSpan w:val="2"/>
          </w:tcPr>
          <w:p w:rsidR="00291059" w:rsidRPr="00687500" w:rsidRDefault="00291059" w:rsidP="00C72DBF">
            <w:pPr>
              <w:jc w:val="both"/>
              <w:rPr>
                <w:rFonts w:ascii="Tahoma" w:hAnsi="Tahoma" w:cs="Tahoma"/>
                <w:sz w:val="22"/>
                <w:szCs w:val="22"/>
              </w:rPr>
            </w:pPr>
          </w:p>
        </w:tc>
      </w:tr>
      <w:tr w:rsidR="00291059" w:rsidRPr="00687500">
        <w:tc>
          <w:tcPr>
            <w:tcW w:w="3108" w:type="dxa"/>
          </w:tcPr>
          <w:p w:rsidR="00291059" w:rsidRPr="00687500" w:rsidRDefault="00291059" w:rsidP="00C72DBF">
            <w:pPr>
              <w:jc w:val="both"/>
              <w:rPr>
                <w:rFonts w:ascii="Tahoma" w:hAnsi="Tahoma" w:cs="Tahoma"/>
                <w:sz w:val="22"/>
                <w:szCs w:val="22"/>
              </w:rPr>
            </w:pPr>
          </w:p>
        </w:tc>
        <w:tc>
          <w:tcPr>
            <w:tcW w:w="1680" w:type="dxa"/>
          </w:tcPr>
          <w:p w:rsidR="00291059" w:rsidRPr="00687500" w:rsidRDefault="00291059" w:rsidP="00C72DBF">
            <w:pPr>
              <w:jc w:val="both"/>
              <w:rPr>
                <w:rFonts w:ascii="Tahoma" w:hAnsi="Tahoma" w:cs="Tahoma"/>
                <w:sz w:val="22"/>
                <w:szCs w:val="22"/>
              </w:rPr>
            </w:pPr>
          </w:p>
        </w:tc>
        <w:tc>
          <w:tcPr>
            <w:tcW w:w="1560" w:type="dxa"/>
          </w:tcPr>
          <w:p w:rsidR="00291059" w:rsidRPr="00687500" w:rsidRDefault="00291059" w:rsidP="00C72DBF">
            <w:pPr>
              <w:jc w:val="both"/>
              <w:rPr>
                <w:rFonts w:ascii="Tahoma" w:hAnsi="Tahoma" w:cs="Tahoma"/>
                <w:sz w:val="22"/>
                <w:szCs w:val="22"/>
              </w:rPr>
            </w:pPr>
          </w:p>
        </w:tc>
        <w:tc>
          <w:tcPr>
            <w:tcW w:w="1680" w:type="dxa"/>
          </w:tcPr>
          <w:p w:rsidR="00291059" w:rsidRPr="00687500" w:rsidRDefault="00291059" w:rsidP="00C72DBF">
            <w:pPr>
              <w:jc w:val="both"/>
              <w:rPr>
                <w:rFonts w:ascii="Tahoma" w:hAnsi="Tahoma" w:cs="Tahoma"/>
                <w:sz w:val="22"/>
                <w:szCs w:val="22"/>
              </w:rPr>
            </w:pPr>
          </w:p>
        </w:tc>
        <w:tc>
          <w:tcPr>
            <w:tcW w:w="1800" w:type="dxa"/>
            <w:gridSpan w:val="2"/>
          </w:tcPr>
          <w:p w:rsidR="00291059" w:rsidRPr="00687500" w:rsidRDefault="00291059" w:rsidP="00C72DBF">
            <w:pPr>
              <w:jc w:val="both"/>
              <w:rPr>
                <w:rFonts w:ascii="Tahoma" w:hAnsi="Tahoma" w:cs="Tahoma"/>
                <w:sz w:val="22"/>
                <w:szCs w:val="22"/>
              </w:rPr>
            </w:pPr>
          </w:p>
        </w:tc>
      </w:tr>
    </w:tbl>
    <w:p w:rsidR="009C35DF" w:rsidRPr="00687500" w:rsidRDefault="00522547" w:rsidP="00C72DBF">
      <w:pPr>
        <w:ind w:left="360"/>
        <w:jc w:val="both"/>
        <w:rPr>
          <w:rFonts w:ascii="Tahoma" w:hAnsi="Tahoma" w:cs="Tahoma"/>
          <w:sz w:val="22"/>
          <w:szCs w:val="22"/>
        </w:rPr>
      </w:pPr>
      <w:r w:rsidRPr="00687500">
        <w:rPr>
          <w:rFonts w:ascii="Tahoma" w:hAnsi="Tahoma" w:cs="Tahoma"/>
          <w:sz w:val="22"/>
          <w:szCs w:val="22"/>
        </w:rPr>
        <w:t>Not applicable.</w:t>
      </w:r>
    </w:p>
    <w:p w:rsidR="00522547" w:rsidRDefault="00522547" w:rsidP="00C72DBF">
      <w:pPr>
        <w:ind w:left="360"/>
        <w:jc w:val="both"/>
        <w:rPr>
          <w:rFonts w:ascii="Tahoma" w:hAnsi="Tahoma" w:cs="Tahoma"/>
          <w:sz w:val="22"/>
          <w:szCs w:val="22"/>
        </w:rPr>
      </w:pPr>
    </w:p>
    <w:p w:rsidR="00320C26" w:rsidRDefault="00320C26" w:rsidP="00C72DBF">
      <w:pPr>
        <w:jc w:val="both"/>
        <w:rPr>
          <w:rFonts w:ascii="Tahoma" w:hAnsi="Tahoma" w:cs="Tahoma"/>
          <w:b/>
          <w:sz w:val="22"/>
          <w:szCs w:val="22"/>
        </w:rPr>
      </w:pPr>
    </w:p>
    <w:p w:rsidR="009C35DF" w:rsidRPr="00687500" w:rsidRDefault="009C35DF" w:rsidP="00C72DBF">
      <w:pPr>
        <w:jc w:val="both"/>
        <w:rPr>
          <w:rFonts w:ascii="Tahoma" w:hAnsi="Tahoma" w:cs="Tahoma"/>
          <w:b/>
          <w:sz w:val="22"/>
          <w:szCs w:val="22"/>
        </w:rPr>
      </w:pPr>
      <w:r w:rsidRPr="00687500">
        <w:rPr>
          <w:rFonts w:ascii="Tahoma" w:hAnsi="Tahoma" w:cs="Tahoma"/>
          <w:b/>
          <w:sz w:val="22"/>
          <w:szCs w:val="22"/>
        </w:rPr>
        <w:t>28</w:t>
      </w:r>
      <w:proofErr w:type="gramStart"/>
      <w:r w:rsidR="00194D86" w:rsidRPr="00687500">
        <w:rPr>
          <w:rFonts w:ascii="Tahoma" w:hAnsi="Tahoma" w:cs="Tahoma"/>
          <w:b/>
          <w:sz w:val="22"/>
          <w:szCs w:val="22"/>
        </w:rPr>
        <w:t>.REALISED</w:t>
      </w:r>
      <w:proofErr w:type="gramEnd"/>
      <w:r w:rsidRPr="00687500">
        <w:rPr>
          <w:rFonts w:ascii="Tahoma" w:hAnsi="Tahoma" w:cs="Tahoma"/>
          <w:b/>
          <w:sz w:val="22"/>
          <w:szCs w:val="22"/>
        </w:rPr>
        <w:t xml:space="preserve"> AND UNREALISED PROFITS/LOSSESS DISCLOSURE</w:t>
      </w:r>
    </w:p>
    <w:p w:rsidR="009C35DF" w:rsidRPr="00687500" w:rsidRDefault="009C35DF" w:rsidP="00C72DBF">
      <w:pPr>
        <w:ind w:left="360"/>
        <w:jc w:val="both"/>
        <w:rPr>
          <w:rFonts w:ascii="Tahoma" w:hAnsi="Tahoma" w:cs="Tahoma"/>
          <w:sz w:val="22"/>
          <w:szCs w:val="22"/>
        </w:rPr>
      </w:pPr>
    </w:p>
    <w:p w:rsidR="009C35DF" w:rsidRPr="00687500" w:rsidRDefault="009C35DF" w:rsidP="00C72DBF">
      <w:pPr>
        <w:ind w:left="360"/>
        <w:jc w:val="both"/>
        <w:rPr>
          <w:rFonts w:ascii="Tahoma" w:hAnsi="Tahoma" w:cs="Tahoma"/>
          <w:sz w:val="22"/>
          <w:szCs w:val="22"/>
        </w:rPr>
      </w:pPr>
      <w:r w:rsidRPr="00687500">
        <w:rPr>
          <w:rFonts w:ascii="Tahoma" w:hAnsi="Tahoma" w:cs="Tahoma"/>
          <w:sz w:val="22"/>
          <w:szCs w:val="22"/>
        </w:rPr>
        <w:t xml:space="preserve">The accumulated </w:t>
      </w:r>
      <w:r w:rsidR="00301861">
        <w:rPr>
          <w:rFonts w:ascii="Tahoma" w:hAnsi="Tahoma" w:cs="Tahoma"/>
          <w:sz w:val="22"/>
          <w:szCs w:val="22"/>
        </w:rPr>
        <w:t>loss</w:t>
      </w:r>
      <w:r w:rsidR="00850D11" w:rsidRPr="00687500">
        <w:rPr>
          <w:rFonts w:ascii="Tahoma" w:hAnsi="Tahoma" w:cs="Tahoma"/>
          <w:sz w:val="22"/>
          <w:szCs w:val="22"/>
        </w:rPr>
        <w:t xml:space="preserve"> </w:t>
      </w:r>
      <w:r w:rsidRPr="00687500">
        <w:rPr>
          <w:rFonts w:ascii="Tahoma" w:hAnsi="Tahoma" w:cs="Tahoma"/>
          <w:sz w:val="22"/>
          <w:szCs w:val="22"/>
        </w:rPr>
        <w:t xml:space="preserve">as at </w:t>
      </w:r>
      <w:r w:rsidR="00194D86" w:rsidRPr="00687500">
        <w:rPr>
          <w:rFonts w:ascii="Tahoma" w:hAnsi="Tahoma" w:cs="Tahoma"/>
          <w:sz w:val="22"/>
          <w:szCs w:val="22"/>
        </w:rPr>
        <w:t xml:space="preserve">31 </w:t>
      </w:r>
      <w:r w:rsidR="005829CC">
        <w:rPr>
          <w:rFonts w:ascii="Tahoma" w:hAnsi="Tahoma" w:cs="Tahoma"/>
          <w:sz w:val="22"/>
          <w:szCs w:val="22"/>
        </w:rPr>
        <w:t>March 2012</w:t>
      </w:r>
      <w:r w:rsidRPr="00687500">
        <w:rPr>
          <w:rFonts w:ascii="Tahoma" w:hAnsi="Tahoma" w:cs="Tahoma"/>
          <w:sz w:val="22"/>
          <w:szCs w:val="22"/>
        </w:rPr>
        <w:t xml:space="preserve"> and </w:t>
      </w:r>
      <w:r w:rsidR="005829CC">
        <w:rPr>
          <w:rFonts w:ascii="Tahoma" w:hAnsi="Tahoma" w:cs="Tahoma"/>
          <w:sz w:val="22"/>
          <w:szCs w:val="22"/>
        </w:rPr>
        <w:t>31 December 2011</w:t>
      </w:r>
      <w:r w:rsidRPr="00687500">
        <w:rPr>
          <w:rFonts w:ascii="Tahoma" w:hAnsi="Tahoma" w:cs="Tahoma"/>
          <w:sz w:val="22"/>
          <w:szCs w:val="22"/>
        </w:rPr>
        <w:t xml:space="preserve"> is </w:t>
      </w:r>
      <w:proofErr w:type="spellStart"/>
      <w:r w:rsidRPr="00687500">
        <w:rPr>
          <w:rFonts w:ascii="Tahoma" w:hAnsi="Tahoma" w:cs="Tahoma"/>
          <w:sz w:val="22"/>
          <w:szCs w:val="22"/>
        </w:rPr>
        <w:t>analysed</w:t>
      </w:r>
      <w:proofErr w:type="spellEnd"/>
      <w:r w:rsidRPr="00687500">
        <w:rPr>
          <w:rFonts w:ascii="Tahoma" w:hAnsi="Tahoma" w:cs="Tahoma"/>
          <w:sz w:val="22"/>
          <w:szCs w:val="22"/>
        </w:rPr>
        <w:t xml:space="preserve"> as follows:</w:t>
      </w:r>
    </w:p>
    <w:p w:rsidR="009C35DF" w:rsidRPr="00687500" w:rsidRDefault="009C35DF" w:rsidP="00C72DBF">
      <w:pPr>
        <w:ind w:left="360"/>
        <w:jc w:val="both"/>
        <w:rPr>
          <w:rFonts w:ascii="Tahoma" w:hAnsi="Tahoma" w:cs="Tahoma"/>
          <w:sz w:val="22"/>
          <w:szCs w:val="22"/>
        </w:rPr>
      </w:pPr>
    </w:p>
    <w:p w:rsidR="009C35DF" w:rsidRPr="00687500" w:rsidRDefault="00522547" w:rsidP="00C72DBF">
      <w:pPr>
        <w:ind w:left="360"/>
        <w:jc w:val="both"/>
        <w:rPr>
          <w:rFonts w:ascii="Tahoma" w:hAnsi="Tahoma" w:cs="Tahoma"/>
          <w:sz w:val="22"/>
          <w:szCs w:val="22"/>
        </w:rPr>
      </w:pP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t xml:space="preserve">Current </w:t>
      </w:r>
      <w:r w:rsidRPr="00687500">
        <w:rPr>
          <w:rFonts w:ascii="Tahoma" w:hAnsi="Tahoma" w:cs="Tahoma"/>
          <w:sz w:val="22"/>
          <w:szCs w:val="22"/>
        </w:rPr>
        <w:tab/>
      </w:r>
      <w:r w:rsidRPr="00687500">
        <w:rPr>
          <w:rFonts w:ascii="Tahoma" w:hAnsi="Tahoma" w:cs="Tahoma"/>
          <w:sz w:val="22"/>
          <w:szCs w:val="22"/>
        </w:rPr>
        <w:tab/>
        <w:t>Immediate</w:t>
      </w:r>
    </w:p>
    <w:p w:rsidR="00522547" w:rsidRPr="00687500" w:rsidRDefault="00522547" w:rsidP="00C72DBF">
      <w:pPr>
        <w:ind w:left="360"/>
        <w:jc w:val="both"/>
        <w:rPr>
          <w:rFonts w:ascii="Tahoma" w:hAnsi="Tahoma" w:cs="Tahoma"/>
          <w:sz w:val="22"/>
          <w:szCs w:val="22"/>
        </w:rPr>
      </w:pP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t>Quarter</w:t>
      </w:r>
      <w:r w:rsidRPr="00687500">
        <w:rPr>
          <w:rFonts w:ascii="Tahoma" w:hAnsi="Tahoma" w:cs="Tahoma"/>
          <w:sz w:val="22"/>
          <w:szCs w:val="22"/>
        </w:rPr>
        <w:tab/>
      </w:r>
      <w:r w:rsidRPr="00687500">
        <w:rPr>
          <w:rFonts w:ascii="Tahoma" w:hAnsi="Tahoma" w:cs="Tahoma"/>
          <w:sz w:val="22"/>
          <w:szCs w:val="22"/>
        </w:rPr>
        <w:tab/>
        <w:t xml:space="preserve">Preceding </w:t>
      </w:r>
    </w:p>
    <w:p w:rsidR="00522547" w:rsidRPr="00687500" w:rsidRDefault="00522547" w:rsidP="00C72DBF">
      <w:pPr>
        <w:ind w:left="7560" w:firstLine="360"/>
        <w:jc w:val="both"/>
        <w:rPr>
          <w:rFonts w:ascii="Tahoma" w:hAnsi="Tahoma" w:cs="Tahoma"/>
          <w:sz w:val="22"/>
          <w:szCs w:val="22"/>
        </w:rPr>
      </w:pPr>
      <w:r w:rsidRPr="00687500">
        <w:rPr>
          <w:rFonts w:ascii="Tahoma" w:hAnsi="Tahoma" w:cs="Tahoma"/>
          <w:sz w:val="22"/>
          <w:szCs w:val="22"/>
        </w:rPr>
        <w:t>Quarter</w:t>
      </w:r>
    </w:p>
    <w:p w:rsidR="00522547" w:rsidRPr="00687500" w:rsidRDefault="00522547" w:rsidP="00C72DBF">
      <w:pPr>
        <w:ind w:left="360"/>
        <w:jc w:val="both"/>
        <w:rPr>
          <w:rFonts w:ascii="Tahoma" w:hAnsi="Tahoma" w:cs="Tahoma"/>
          <w:sz w:val="22"/>
          <w:szCs w:val="22"/>
        </w:rPr>
      </w:pP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t>RM’000</w:t>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t>RM’000</w:t>
      </w:r>
    </w:p>
    <w:p w:rsidR="00522547" w:rsidRPr="00687500" w:rsidRDefault="00522547" w:rsidP="00C72DBF">
      <w:pPr>
        <w:ind w:left="360"/>
        <w:jc w:val="both"/>
        <w:rPr>
          <w:rFonts w:ascii="Tahoma" w:hAnsi="Tahoma" w:cs="Tahoma"/>
          <w:sz w:val="22"/>
          <w:szCs w:val="22"/>
        </w:rPr>
      </w:pPr>
    </w:p>
    <w:p w:rsidR="00522547" w:rsidRPr="00687500" w:rsidRDefault="00522547" w:rsidP="00C72DBF">
      <w:pPr>
        <w:ind w:left="360"/>
        <w:jc w:val="both"/>
        <w:rPr>
          <w:rFonts w:ascii="Tahoma" w:hAnsi="Tahoma" w:cs="Tahoma"/>
          <w:sz w:val="22"/>
          <w:szCs w:val="22"/>
        </w:rPr>
      </w:pPr>
      <w:r w:rsidRPr="00687500">
        <w:rPr>
          <w:rFonts w:ascii="Tahoma" w:hAnsi="Tahoma" w:cs="Tahoma"/>
          <w:sz w:val="22"/>
          <w:szCs w:val="22"/>
        </w:rPr>
        <w:t xml:space="preserve">Total accumulated </w:t>
      </w:r>
      <w:r w:rsidR="00301861">
        <w:rPr>
          <w:rFonts w:ascii="Tahoma" w:hAnsi="Tahoma" w:cs="Tahoma"/>
          <w:sz w:val="22"/>
          <w:szCs w:val="22"/>
        </w:rPr>
        <w:t>loss</w:t>
      </w:r>
      <w:r w:rsidRPr="00687500">
        <w:rPr>
          <w:rFonts w:ascii="Tahoma" w:hAnsi="Tahoma" w:cs="Tahoma"/>
          <w:sz w:val="22"/>
          <w:szCs w:val="22"/>
        </w:rPr>
        <w:t xml:space="preserve"> of the Company and</w:t>
      </w:r>
    </w:p>
    <w:p w:rsidR="00522547" w:rsidRPr="00687500" w:rsidRDefault="00522547" w:rsidP="00C72DBF">
      <w:pPr>
        <w:ind w:left="360"/>
        <w:jc w:val="both"/>
        <w:rPr>
          <w:rFonts w:ascii="Tahoma" w:hAnsi="Tahoma" w:cs="Tahoma"/>
          <w:sz w:val="22"/>
          <w:szCs w:val="22"/>
        </w:rPr>
      </w:pPr>
      <w:r w:rsidRPr="00687500">
        <w:rPr>
          <w:rFonts w:ascii="Tahoma" w:hAnsi="Tahoma" w:cs="Tahoma"/>
          <w:sz w:val="22"/>
          <w:szCs w:val="22"/>
        </w:rPr>
        <w:t>Subsidiaries</w:t>
      </w:r>
    </w:p>
    <w:p w:rsidR="00522547" w:rsidRPr="00687500" w:rsidRDefault="00850D11" w:rsidP="00C72DBF">
      <w:pPr>
        <w:ind w:left="360"/>
        <w:jc w:val="both"/>
        <w:rPr>
          <w:rFonts w:ascii="Tahoma" w:hAnsi="Tahoma" w:cs="Tahoma"/>
          <w:sz w:val="22"/>
          <w:szCs w:val="22"/>
        </w:rPr>
      </w:pPr>
      <w:r w:rsidRPr="00687500">
        <w:rPr>
          <w:rFonts w:ascii="Tahoma" w:hAnsi="Tahoma" w:cs="Tahoma"/>
          <w:sz w:val="22"/>
          <w:szCs w:val="22"/>
        </w:rPr>
        <w:t>-</w:t>
      </w:r>
      <w:proofErr w:type="spellStart"/>
      <w:r w:rsidRPr="00687500">
        <w:rPr>
          <w:rFonts w:ascii="Tahoma" w:hAnsi="Tahoma" w:cs="Tahoma"/>
          <w:sz w:val="22"/>
          <w:szCs w:val="22"/>
        </w:rPr>
        <w:t>Realised</w:t>
      </w:r>
      <w:proofErr w:type="spellEnd"/>
      <w:r w:rsidRPr="00687500">
        <w:rPr>
          <w:rFonts w:ascii="Tahoma" w:hAnsi="Tahoma" w:cs="Tahoma"/>
          <w:sz w:val="22"/>
          <w:szCs w:val="22"/>
        </w:rPr>
        <w:t xml:space="preserve"> </w:t>
      </w:r>
      <w:r w:rsidR="00301861">
        <w:rPr>
          <w:rFonts w:ascii="Tahoma" w:hAnsi="Tahoma" w:cs="Tahoma"/>
          <w:sz w:val="22"/>
          <w:szCs w:val="22"/>
        </w:rPr>
        <w:t>loss</w:t>
      </w:r>
      <w:r w:rsidR="003B5F89" w:rsidRPr="00687500">
        <w:rPr>
          <w:rFonts w:ascii="Tahoma" w:hAnsi="Tahoma" w:cs="Tahoma"/>
          <w:sz w:val="22"/>
          <w:szCs w:val="22"/>
        </w:rPr>
        <w:tab/>
      </w:r>
      <w:r w:rsidR="003B5F89" w:rsidRPr="00687500">
        <w:rPr>
          <w:rFonts w:ascii="Tahoma" w:hAnsi="Tahoma" w:cs="Tahoma"/>
          <w:sz w:val="22"/>
          <w:szCs w:val="22"/>
        </w:rPr>
        <w:tab/>
      </w:r>
      <w:r w:rsidR="003B5F89" w:rsidRPr="00687500">
        <w:rPr>
          <w:rFonts w:ascii="Tahoma" w:hAnsi="Tahoma" w:cs="Tahoma"/>
          <w:sz w:val="22"/>
          <w:szCs w:val="22"/>
        </w:rPr>
        <w:tab/>
      </w:r>
      <w:r w:rsidR="003B5F89" w:rsidRPr="00687500">
        <w:rPr>
          <w:rFonts w:ascii="Tahoma" w:hAnsi="Tahoma" w:cs="Tahoma"/>
          <w:sz w:val="22"/>
          <w:szCs w:val="22"/>
        </w:rPr>
        <w:tab/>
        <w:t xml:space="preserve">         </w:t>
      </w:r>
      <w:r w:rsidR="00301861">
        <w:rPr>
          <w:rFonts w:ascii="Tahoma" w:hAnsi="Tahoma" w:cs="Tahoma"/>
          <w:sz w:val="22"/>
          <w:szCs w:val="22"/>
        </w:rPr>
        <w:tab/>
      </w:r>
      <w:r w:rsidR="00301861">
        <w:rPr>
          <w:rFonts w:ascii="Tahoma" w:hAnsi="Tahoma" w:cs="Tahoma"/>
          <w:sz w:val="22"/>
          <w:szCs w:val="22"/>
        </w:rPr>
        <w:tab/>
      </w:r>
      <w:r w:rsidR="003B5F89" w:rsidRPr="00687500">
        <w:rPr>
          <w:rFonts w:ascii="Tahoma" w:hAnsi="Tahoma" w:cs="Tahoma"/>
          <w:sz w:val="22"/>
          <w:szCs w:val="22"/>
        </w:rPr>
        <w:t xml:space="preserve">    </w:t>
      </w:r>
      <w:r w:rsidR="00194D86" w:rsidRPr="00687500">
        <w:rPr>
          <w:rFonts w:ascii="Tahoma" w:hAnsi="Tahoma" w:cs="Tahoma"/>
          <w:sz w:val="22"/>
          <w:szCs w:val="22"/>
        </w:rPr>
        <w:t>(</w:t>
      </w:r>
      <w:r w:rsidR="005829CC">
        <w:rPr>
          <w:rFonts w:ascii="Tahoma" w:hAnsi="Tahoma" w:cs="Tahoma"/>
          <w:sz w:val="22"/>
          <w:szCs w:val="22"/>
        </w:rPr>
        <w:t>645</w:t>
      </w:r>
      <w:r w:rsidR="00194D86" w:rsidRPr="00687500">
        <w:rPr>
          <w:rFonts w:ascii="Tahoma" w:hAnsi="Tahoma" w:cs="Tahoma"/>
          <w:sz w:val="22"/>
          <w:szCs w:val="22"/>
        </w:rPr>
        <w:t>)</w:t>
      </w:r>
      <w:r w:rsidR="003B5F89" w:rsidRPr="00687500">
        <w:rPr>
          <w:rFonts w:ascii="Tahoma" w:hAnsi="Tahoma" w:cs="Tahoma"/>
          <w:sz w:val="22"/>
          <w:szCs w:val="22"/>
        </w:rPr>
        <w:tab/>
      </w:r>
      <w:r w:rsidR="003B5F89" w:rsidRPr="00687500">
        <w:rPr>
          <w:rFonts w:ascii="Tahoma" w:hAnsi="Tahoma" w:cs="Tahoma"/>
          <w:sz w:val="22"/>
          <w:szCs w:val="22"/>
        </w:rPr>
        <w:tab/>
        <w:t xml:space="preserve"> </w:t>
      </w:r>
      <w:r w:rsidR="00301861">
        <w:rPr>
          <w:rFonts w:ascii="Tahoma" w:hAnsi="Tahoma" w:cs="Tahoma"/>
          <w:sz w:val="22"/>
          <w:szCs w:val="22"/>
        </w:rPr>
        <w:t xml:space="preserve"> </w:t>
      </w:r>
      <w:r w:rsidR="003B5F89" w:rsidRPr="00687500">
        <w:rPr>
          <w:rFonts w:ascii="Tahoma" w:hAnsi="Tahoma" w:cs="Tahoma"/>
          <w:sz w:val="22"/>
          <w:szCs w:val="22"/>
        </w:rPr>
        <w:t xml:space="preserve"> </w:t>
      </w:r>
      <w:r w:rsidR="00D44FDB" w:rsidRPr="00687500">
        <w:rPr>
          <w:rFonts w:ascii="Tahoma" w:hAnsi="Tahoma" w:cs="Tahoma"/>
          <w:sz w:val="22"/>
          <w:szCs w:val="22"/>
        </w:rPr>
        <w:t>(</w:t>
      </w:r>
      <w:r w:rsidR="005829CC">
        <w:rPr>
          <w:rFonts w:ascii="Tahoma" w:hAnsi="Tahoma" w:cs="Tahoma"/>
          <w:sz w:val="22"/>
          <w:szCs w:val="22"/>
        </w:rPr>
        <w:t>171</w:t>
      </w:r>
      <w:r w:rsidR="00D44FDB" w:rsidRPr="00687500">
        <w:rPr>
          <w:rFonts w:ascii="Tahoma" w:hAnsi="Tahoma" w:cs="Tahoma"/>
          <w:sz w:val="22"/>
          <w:szCs w:val="22"/>
        </w:rPr>
        <w:t>)</w:t>
      </w:r>
    </w:p>
    <w:p w:rsidR="00522547" w:rsidRPr="00687500" w:rsidRDefault="00522547" w:rsidP="00C72DBF">
      <w:pPr>
        <w:ind w:left="360"/>
        <w:jc w:val="both"/>
        <w:rPr>
          <w:rFonts w:ascii="Tahoma" w:hAnsi="Tahoma" w:cs="Tahoma"/>
          <w:sz w:val="22"/>
          <w:szCs w:val="22"/>
          <w:u w:val="single"/>
        </w:rPr>
      </w:pPr>
      <w:r w:rsidRPr="00687500">
        <w:rPr>
          <w:rFonts w:ascii="Tahoma" w:hAnsi="Tahoma" w:cs="Tahoma"/>
          <w:sz w:val="22"/>
          <w:szCs w:val="22"/>
        </w:rPr>
        <w:t>-</w:t>
      </w:r>
      <w:proofErr w:type="spellStart"/>
      <w:r w:rsidRPr="00687500">
        <w:rPr>
          <w:rFonts w:ascii="Tahoma" w:hAnsi="Tahoma" w:cs="Tahoma"/>
          <w:sz w:val="22"/>
          <w:szCs w:val="22"/>
        </w:rPr>
        <w:t>Unrealised</w:t>
      </w:r>
      <w:proofErr w:type="spellEnd"/>
      <w:r w:rsidRPr="00687500">
        <w:rPr>
          <w:rFonts w:ascii="Tahoma" w:hAnsi="Tahoma" w:cs="Tahoma"/>
          <w:sz w:val="22"/>
          <w:szCs w:val="22"/>
        </w:rPr>
        <w:t xml:space="preserve"> profit</w:t>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u w:val="single"/>
        </w:rPr>
        <w:t xml:space="preserve">          </w:t>
      </w:r>
      <w:r w:rsidR="00850D11" w:rsidRPr="00687500">
        <w:rPr>
          <w:rFonts w:ascii="Tahoma" w:hAnsi="Tahoma" w:cs="Tahoma"/>
          <w:sz w:val="22"/>
          <w:szCs w:val="22"/>
          <w:u w:val="single"/>
        </w:rPr>
        <w:t>_</w:t>
      </w:r>
      <w:r w:rsidRPr="00687500">
        <w:rPr>
          <w:rFonts w:ascii="Tahoma" w:hAnsi="Tahoma" w:cs="Tahoma"/>
          <w:sz w:val="22"/>
          <w:szCs w:val="22"/>
          <w:u w:val="single"/>
        </w:rPr>
        <w:t xml:space="preserve">  </w:t>
      </w:r>
      <w:r w:rsidR="003B5F89" w:rsidRPr="00687500">
        <w:rPr>
          <w:rFonts w:ascii="Tahoma" w:hAnsi="Tahoma" w:cs="Tahoma"/>
          <w:sz w:val="22"/>
          <w:szCs w:val="22"/>
          <w:u w:val="single"/>
        </w:rPr>
        <w:t xml:space="preserve"> </w:t>
      </w:r>
      <w:r w:rsidRPr="00687500">
        <w:rPr>
          <w:rFonts w:ascii="Tahoma" w:hAnsi="Tahoma" w:cs="Tahoma"/>
          <w:sz w:val="22"/>
          <w:szCs w:val="22"/>
          <w:u w:val="single"/>
        </w:rPr>
        <w:t xml:space="preserve">  </w:t>
      </w:r>
      <w:r w:rsidR="003B5F89" w:rsidRPr="00687500">
        <w:rPr>
          <w:rFonts w:ascii="Tahoma" w:hAnsi="Tahoma" w:cs="Tahoma"/>
          <w:sz w:val="22"/>
          <w:szCs w:val="22"/>
          <w:u w:val="single"/>
        </w:rPr>
        <w:t>Nil</w:t>
      </w:r>
      <w:r w:rsidRPr="00687500">
        <w:rPr>
          <w:rFonts w:ascii="Tahoma" w:hAnsi="Tahoma" w:cs="Tahoma"/>
          <w:sz w:val="22"/>
          <w:szCs w:val="22"/>
        </w:rPr>
        <w:t xml:space="preserve">           </w:t>
      </w:r>
      <w:r w:rsidR="00194D86" w:rsidRPr="00687500">
        <w:rPr>
          <w:rFonts w:ascii="Tahoma" w:hAnsi="Tahoma" w:cs="Tahoma"/>
          <w:sz w:val="22"/>
          <w:szCs w:val="22"/>
        </w:rPr>
        <w:t xml:space="preserve">   </w:t>
      </w:r>
      <w:r w:rsidRPr="00687500">
        <w:rPr>
          <w:rFonts w:ascii="Tahoma" w:hAnsi="Tahoma" w:cs="Tahoma"/>
          <w:sz w:val="22"/>
          <w:szCs w:val="22"/>
          <w:u w:val="single"/>
        </w:rPr>
        <w:t xml:space="preserve">       </w:t>
      </w:r>
      <w:r w:rsidR="00850D11" w:rsidRPr="00687500">
        <w:rPr>
          <w:rFonts w:ascii="Tahoma" w:hAnsi="Tahoma" w:cs="Tahoma"/>
          <w:sz w:val="22"/>
          <w:szCs w:val="22"/>
          <w:u w:val="single"/>
        </w:rPr>
        <w:t>_</w:t>
      </w:r>
      <w:r w:rsidRPr="00687500">
        <w:rPr>
          <w:rFonts w:ascii="Tahoma" w:hAnsi="Tahoma" w:cs="Tahoma"/>
          <w:sz w:val="22"/>
          <w:szCs w:val="22"/>
          <w:u w:val="single"/>
        </w:rPr>
        <w:t xml:space="preserve">      </w:t>
      </w:r>
      <w:r w:rsidR="00850D11" w:rsidRPr="00687500">
        <w:rPr>
          <w:rFonts w:ascii="Tahoma" w:hAnsi="Tahoma" w:cs="Tahoma"/>
          <w:sz w:val="22"/>
          <w:szCs w:val="22"/>
          <w:u w:val="single"/>
        </w:rPr>
        <w:t>Nil</w:t>
      </w:r>
    </w:p>
    <w:p w:rsidR="009C35DF" w:rsidRPr="00687500" w:rsidRDefault="00522547" w:rsidP="00C72DBF">
      <w:pPr>
        <w:ind w:left="360"/>
        <w:jc w:val="both"/>
        <w:rPr>
          <w:rFonts w:ascii="Tahoma" w:hAnsi="Tahoma" w:cs="Tahoma"/>
          <w:sz w:val="22"/>
          <w:szCs w:val="22"/>
        </w:rPr>
      </w:pP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00194D86" w:rsidRPr="00687500">
        <w:rPr>
          <w:rFonts w:ascii="Tahoma" w:hAnsi="Tahoma" w:cs="Tahoma"/>
          <w:sz w:val="22"/>
          <w:szCs w:val="22"/>
        </w:rPr>
        <w:t xml:space="preserve">  (</w:t>
      </w:r>
      <w:r w:rsidR="005829CC">
        <w:rPr>
          <w:rFonts w:ascii="Tahoma" w:hAnsi="Tahoma" w:cs="Tahoma"/>
          <w:sz w:val="22"/>
          <w:szCs w:val="22"/>
        </w:rPr>
        <w:t>645</w:t>
      </w:r>
      <w:r w:rsidR="00194D86" w:rsidRPr="00687500">
        <w:rPr>
          <w:rFonts w:ascii="Tahoma" w:hAnsi="Tahoma" w:cs="Tahoma"/>
          <w:sz w:val="22"/>
          <w:szCs w:val="22"/>
        </w:rPr>
        <w:t>)</w:t>
      </w:r>
      <w:r w:rsidRPr="00687500">
        <w:rPr>
          <w:rFonts w:ascii="Tahoma" w:hAnsi="Tahoma" w:cs="Tahoma"/>
          <w:sz w:val="22"/>
          <w:szCs w:val="22"/>
        </w:rPr>
        <w:tab/>
      </w:r>
      <w:r w:rsidRPr="00687500">
        <w:rPr>
          <w:rFonts w:ascii="Tahoma" w:hAnsi="Tahoma" w:cs="Tahoma"/>
          <w:sz w:val="22"/>
          <w:szCs w:val="22"/>
        </w:rPr>
        <w:tab/>
      </w:r>
      <w:r w:rsidR="00850D11" w:rsidRPr="00687500">
        <w:rPr>
          <w:rFonts w:ascii="Tahoma" w:hAnsi="Tahoma" w:cs="Tahoma"/>
          <w:sz w:val="22"/>
          <w:szCs w:val="22"/>
        </w:rPr>
        <w:t xml:space="preserve">   </w:t>
      </w:r>
      <w:r w:rsidR="00194D86" w:rsidRPr="00687500">
        <w:rPr>
          <w:rFonts w:ascii="Tahoma" w:hAnsi="Tahoma" w:cs="Tahoma"/>
          <w:sz w:val="22"/>
          <w:szCs w:val="22"/>
        </w:rPr>
        <w:t xml:space="preserve">         (</w:t>
      </w:r>
      <w:r w:rsidR="005829CC">
        <w:rPr>
          <w:rFonts w:ascii="Tahoma" w:hAnsi="Tahoma" w:cs="Tahoma"/>
          <w:sz w:val="22"/>
          <w:szCs w:val="22"/>
        </w:rPr>
        <w:t>171</w:t>
      </w:r>
      <w:r w:rsidR="00D44FDB" w:rsidRPr="00687500">
        <w:rPr>
          <w:rFonts w:ascii="Tahoma" w:hAnsi="Tahoma" w:cs="Tahoma"/>
          <w:sz w:val="22"/>
          <w:szCs w:val="22"/>
        </w:rPr>
        <w:t>)</w:t>
      </w:r>
    </w:p>
    <w:p w:rsidR="00522547" w:rsidRPr="00687500" w:rsidRDefault="00522547" w:rsidP="00C72DBF">
      <w:pPr>
        <w:ind w:left="360"/>
        <w:jc w:val="both"/>
        <w:rPr>
          <w:rFonts w:ascii="Tahoma" w:hAnsi="Tahoma" w:cs="Tahoma"/>
          <w:sz w:val="22"/>
          <w:szCs w:val="22"/>
        </w:rPr>
      </w:pPr>
      <w:r w:rsidRPr="00687500">
        <w:rPr>
          <w:rFonts w:ascii="Tahoma" w:hAnsi="Tahoma" w:cs="Tahoma"/>
          <w:sz w:val="22"/>
          <w:szCs w:val="22"/>
        </w:rPr>
        <w:t>Less: Consolidated adjustments</w:t>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u w:val="single"/>
        </w:rPr>
        <w:tab/>
        <w:t xml:space="preserve">      -</w:t>
      </w:r>
      <w:r w:rsidRPr="00687500">
        <w:rPr>
          <w:rFonts w:ascii="Tahoma" w:hAnsi="Tahoma" w:cs="Tahoma"/>
          <w:sz w:val="22"/>
          <w:szCs w:val="22"/>
          <w:u w:val="single"/>
        </w:rPr>
        <w:tab/>
      </w:r>
      <w:r w:rsidRPr="00687500">
        <w:rPr>
          <w:rFonts w:ascii="Tahoma" w:hAnsi="Tahoma" w:cs="Tahoma"/>
          <w:sz w:val="22"/>
          <w:szCs w:val="22"/>
        </w:rPr>
        <w:tab/>
      </w:r>
      <w:r w:rsidR="00194D86" w:rsidRPr="00687500">
        <w:rPr>
          <w:rFonts w:ascii="Tahoma" w:hAnsi="Tahoma" w:cs="Tahoma"/>
          <w:sz w:val="22"/>
          <w:szCs w:val="22"/>
        </w:rPr>
        <w:t xml:space="preserve">   </w:t>
      </w:r>
      <w:r w:rsidRPr="00687500">
        <w:rPr>
          <w:rFonts w:ascii="Tahoma" w:hAnsi="Tahoma" w:cs="Tahoma"/>
          <w:sz w:val="22"/>
          <w:szCs w:val="22"/>
          <w:u w:val="single"/>
        </w:rPr>
        <w:t xml:space="preserve">                -</w:t>
      </w:r>
      <w:r w:rsidRPr="00687500">
        <w:rPr>
          <w:rFonts w:ascii="Tahoma" w:hAnsi="Tahoma" w:cs="Tahoma"/>
          <w:sz w:val="22"/>
          <w:szCs w:val="22"/>
          <w:u w:val="single"/>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sz w:val="22"/>
          <w:szCs w:val="22"/>
        </w:rPr>
        <w:tab/>
      </w:r>
    </w:p>
    <w:p w:rsidR="00522547" w:rsidRPr="00687500" w:rsidRDefault="00522547" w:rsidP="00C72DBF">
      <w:pPr>
        <w:ind w:left="360"/>
        <w:jc w:val="both"/>
        <w:rPr>
          <w:rFonts w:ascii="Tahoma" w:hAnsi="Tahoma" w:cs="Tahoma"/>
          <w:sz w:val="22"/>
          <w:szCs w:val="22"/>
        </w:rPr>
      </w:pPr>
      <w:r w:rsidRPr="00687500">
        <w:rPr>
          <w:rFonts w:ascii="Tahoma" w:hAnsi="Tahoma" w:cs="Tahoma"/>
          <w:sz w:val="22"/>
          <w:szCs w:val="22"/>
        </w:rPr>
        <w:t xml:space="preserve">Total group accumulated </w:t>
      </w:r>
      <w:r w:rsidR="00301861">
        <w:rPr>
          <w:rFonts w:ascii="Tahoma" w:hAnsi="Tahoma" w:cs="Tahoma"/>
          <w:sz w:val="22"/>
          <w:szCs w:val="22"/>
        </w:rPr>
        <w:t>loss</w:t>
      </w:r>
      <w:r w:rsidRPr="00687500">
        <w:rPr>
          <w:rFonts w:ascii="Tahoma" w:hAnsi="Tahoma" w:cs="Tahoma"/>
          <w:sz w:val="22"/>
          <w:szCs w:val="22"/>
        </w:rPr>
        <w:t xml:space="preserve"> as per</w:t>
      </w:r>
    </w:p>
    <w:p w:rsidR="00522547" w:rsidRPr="00687500" w:rsidRDefault="00522547" w:rsidP="00C72DBF">
      <w:pPr>
        <w:ind w:left="360"/>
        <w:jc w:val="both"/>
        <w:rPr>
          <w:rFonts w:ascii="Tahoma" w:hAnsi="Tahoma" w:cs="Tahoma"/>
          <w:sz w:val="22"/>
          <w:szCs w:val="22"/>
        </w:rPr>
      </w:pPr>
      <w:r w:rsidRPr="00687500">
        <w:rPr>
          <w:rFonts w:ascii="Tahoma" w:hAnsi="Tahoma" w:cs="Tahoma"/>
          <w:sz w:val="22"/>
          <w:szCs w:val="22"/>
        </w:rPr>
        <w:t>Consolidated financial statements</w:t>
      </w:r>
      <w:r w:rsidRPr="00687500">
        <w:rPr>
          <w:rFonts w:ascii="Tahoma" w:hAnsi="Tahoma" w:cs="Tahoma"/>
          <w:sz w:val="22"/>
          <w:szCs w:val="22"/>
        </w:rPr>
        <w:tab/>
      </w:r>
      <w:r w:rsidRPr="00687500">
        <w:rPr>
          <w:rFonts w:ascii="Tahoma" w:hAnsi="Tahoma" w:cs="Tahoma"/>
          <w:sz w:val="22"/>
          <w:szCs w:val="22"/>
        </w:rPr>
        <w:tab/>
      </w:r>
      <w:r w:rsidRPr="00687500">
        <w:rPr>
          <w:rFonts w:ascii="Tahoma" w:hAnsi="Tahoma" w:cs="Tahoma"/>
          <w:b/>
          <w:sz w:val="22"/>
          <w:szCs w:val="22"/>
          <w:u w:val="single"/>
        </w:rPr>
        <w:t xml:space="preserve">         </w:t>
      </w:r>
      <w:r w:rsidR="00194D86" w:rsidRPr="00687500">
        <w:rPr>
          <w:rFonts w:ascii="Tahoma" w:hAnsi="Tahoma" w:cs="Tahoma"/>
          <w:b/>
          <w:sz w:val="22"/>
          <w:szCs w:val="22"/>
          <w:u w:val="single"/>
        </w:rPr>
        <w:t xml:space="preserve">   (</w:t>
      </w:r>
      <w:r w:rsidR="005829CC">
        <w:rPr>
          <w:rFonts w:ascii="Tahoma" w:hAnsi="Tahoma" w:cs="Tahoma"/>
          <w:b/>
          <w:sz w:val="22"/>
          <w:szCs w:val="22"/>
          <w:u w:val="single"/>
        </w:rPr>
        <w:t>645</w:t>
      </w:r>
      <w:r w:rsidR="00194D86" w:rsidRPr="00687500">
        <w:rPr>
          <w:rFonts w:ascii="Tahoma" w:hAnsi="Tahoma" w:cs="Tahoma"/>
          <w:b/>
          <w:sz w:val="22"/>
          <w:szCs w:val="22"/>
          <w:u w:val="single"/>
        </w:rPr>
        <w:t>)</w:t>
      </w:r>
      <w:r w:rsidRPr="00687500">
        <w:rPr>
          <w:rFonts w:ascii="Tahoma" w:hAnsi="Tahoma" w:cs="Tahoma"/>
          <w:sz w:val="22"/>
          <w:szCs w:val="22"/>
        </w:rPr>
        <w:tab/>
      </w:r>
      <w:r w:rsidR="00850D11" w:rsidRPr="00687500">
        <w:rPr>
          <w:rFonts w:ascii="Tahoma" w:hAnsi="Tahoma" w:cs="Tahoma"/>
          <w:sz w:val="22"/>
          <w:szCs w:val="22"/>
        </w:rPr>
        <w:t xml:space="preserve">   </w:t>
      </w:r>
      <w:r w:rsidR="00D44FDB" w:rsidRPr="00687500">
        <w:rPr>
          <w:rFonts w:ascii="Tahoma" w:hAnsi="Tahoma" w:cs="Tahoma"/>
          <w:sz w:val="22"/>
          <w:szCs w:val="22"/>
        </w:rPr>
        <w:t xml:space="preserve"> </w:t>
      </w:r>
      <w:r w:rsidR="00D44FDB" w:rsidRPr="00687500">
        <w:rPr>
          <w:rFonts w:ascii="Tahoma" w:hAnsi="Tahoma" w:cs="Tahoma"/>
          <w:sz w:val="22"/>
          <w:szCs w:val="22"/>
        </w:rPr>
        <w:tab/>
      </w:r>
      <w:r w:rsidR="00194D86" w:rsidRPr="00687500">
        <w:rPr>
          <w:rFonts w:ascii="Tahoma" w:hAnsi="Tahoma" w:cs="Tahoma"/>
          <w:sz w:val="22"/>
          <w:szCs w:val="22"/>
        </w:rPr>
        <w:t xml:space="preserve">   </w:t>
      </w:r>
      <w:r w:rsidR="00194D86" w:rsidRPr="00687500">
        <w:rPr>
          <w:rFonts w:ascii="Tahoma" w:hAnsi="Tahoma" w:cs="Tahoma"/>
          <w:b/>
          <w:sz w:val="22"/>
          <w:szCs w:val="22"/>
          <w:u w:val="single"/>
        </w:rPr>
        <w:t xml:space="preserve">        (</w:t>
      </w:r>
      <w:r w:rsidR="005829CC">
        <w:rPr>
          <w:rFonts w:ascii="Tahoma" w:hAnsi="Tahoma" w:cs="Tahoma"/>
          <w:b/>
          <w:sz w:val="22"/>
          <w:szCs w:val="22"/>
          <w:u w:val="single"/>
        </w:rPr>
        <w:t>171</w:t>
      </w:r>
      <w:r w:rsidR="00194D86" w:rsidRPr="00687500">
        <w:rPr>
          <w:rFonts w:ascii="Tahoma" w:hAnsi="Tahoma" w:cs="Tahoma"/>
          <w:b/>
          <w:sz w:val="22"/>
          <w:szCs w:val="22"/>
          <w:u w:val="single"/>
        </w:rPr>
        <w:t>)</w:t>
      </w:r>
      <w:r w:rsidR="00194D86" w:rsidRPr="00687500">
        <w:rPr>
          <w:rFonts w:ascii="Tahoma" w:hAnsi="Tahoma" w:cs="Tahoma"/>
          <w:sz w:val="22"/>
          <w:szCs w:val="22"/>
        </w:rPr>
        <w:tab/>
      </w:r>
    </w:p>
    <w:p w:rsidR="00522547" w:rsidRPr="00687500" w:rsidRDefault="00522547" w:rsidP="00C72DBF">
      <w:pPr>
        <w:ind w:left="360"/>
        <w:jc w:val="both"/>
        <w:rPr>
          <w:rFonts w:ascii="Tahoma" w:hAnsi="Tahoma" w:cs="Tahoma"/>
          <w:sz w:val="22"/>
          <w:szCs w:val="22"/>
        </w:rPr>
      </w:pPr>
    </w:p>
    <w:p w:rsidR="009C35DF" w:rsidRPr="00687500" w:rsidRDefault="009C35DF" w:rsidP="00C72DBF">
      <w:pPr>
        <w:ind w:left="360"/>
        <w:jc w:val="both"/>
        <w:rPr>
          <w:rFonts w:ascii="Tahoma" w:hAnsi="Tahoma" w:cs="Tahoma"/>
          <w:sz w:val="22"/>
          <w:szCs w:val="22"/>
        </w:rPr>
      </w:pPr>
    </w:p>
    <w:p w:rsidR="00291059" w:rsidRPr="00687500" w:rsidRDefault="00291059" w:rsidP="00C72DBF">
      <w:pPr>
        <w:ind w:left="360"/>
        <w:jc w:val="both"/>
        <w:rPr>
          <w:rFonts w:ascii="Tahoma" w:hAnsi="Tahoma" w:cs="Tahoma"/>
          <w:sz w:val="22"/>
          <w:szCs w:val="22"/>
        </w:rPr>
      </w:pPr>
      <w:r w:rsidRPr="00687500">
        <w:rPr>
          <w:rFonts w:ascii="Tahoma" w:hAnsi="Tahoma" w:cs="Tahoma"/>
          <w:sz w:val="22"/>
          <w:szCs w:val="22"/>
        </w:rPr>
        <w:t>By Order of the Board</w:t>
      </w:r>
    </w:p>
    <w:p w:rsidR="00291059" w:rsidRPr="00687500" w:rsidRDefault="00291059" w:rsidP="00C72DBF">
      <w:pPr>
        <w:ind w:left="360"/>
        <w:jc w:val="both"/>
        <w:rPr>
          <w:rFonts w:ascii="Tahoma" w:hAnsi="Tahoma" w:cs="Tahoma"/>
          <w:sz w:val="22"/>
          <w:szCs w:val="22"/>
        </w:rPr>
      </w:pPr>
      <w:r w:rsidRPr="00687500">
        <w:rPr>
          <w:rFonts w:ascii="Tahoma" w:hAnsi="Tahoma" w:cs="Tahoma"/>
          <w:sz w:val="22"/>
          <w:szCs w:val="22"/>
        </w:rPr>
        <w:t>Secretary</w:t>
      </w:r>
    </w:p>
    <w:sectPr w:rsidR="00291059" w:rsidRPr="00687500" w:rsidSect="00240266">
      <w:headerReference w:type="default" r:id="rId8"/>
      <w:footerReference w:type="even" r:id="rId9"/>
      <w:footerReference w:type="default" r:id="rId10"/>
      <w:pgSz w:w="11909" w:h="16834" w:code="9"/>
      <w:pgMar w:top="1440" w:right="868" w:bottom="1440" w:left="737" w:header="115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AA3" w:rsidRDefault="00847AA3">
      <w:r>
        <w:separator/>
      </w:r>
    </w:p>
  </w:endnote>
  <w:endnote w:type="continuationSeparator" w:id="0">
    <w:p w:rsidR="00847AA3" w:rsidRDefault="00847A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DC" w:rsidRDefault="00A4108E">
    <w:pPr>
      <w:pStyle w:val="Footer"/>
      <w:framePr w:wrap="around" w:vAnchor="text" w:hAnchor="margin" w:xAlign="right" w:y="1"/>
      <w:rPr>
        <w:rStyle w:val="PageNumber"/>
      </w:rPr>
    </w:pPr>
    <w:r>
      <w:rPr>
        <w:rStyle w:val="PageNumber"/>
      </w:rPr>
      <w:fldChar w:fldCharType="begin"/>
    </w:r>
    <w:r w:rsidR="00B27ADC">
      <w:rPr>
        <w:rStyle w:val="PageNumber"/>
      </w:rPr>
      <w:instrText xml:space="preserve">PAGE  </w:instrText>
    </w:r>
    <w:r>
      <w:rPr>
        <w:rStyle w:val="PageNumber"/>
      </w:rPr>
      <w:fldChar w:fldCharType="end"/>
    </w:r>
  </w:p>
  <w:p w:rsidR="00B27ADC" w:rsidRDefault="00B27A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DC" w:rsidRDefault="00A4108E">
    <w:pPr>
      <w:pStyle w:val="Footer"/>
      <w:framePr w:wrap="around" w:vAnchor="text" w:hAnchor="margin" w:xAlign="right" w:y="1"/>
      <w:rPr>
        <w:rStyle w:val="PageNumber"/>
      </w:rPr>
    </w:pPr>
    <w:r>
      <w:rPr>
        <w:rStyle w:val="PageNumber"/>
      </w:rPr>
      <w:fldChar w:fldCharType="begin"/>
    </w:r>
    <w:r w:rsidR="00B27ADC">
      <w:rPr>
        <w:rStyle w:val="PageNumber"/>
      </w:rPr>
      <w:instrText xml:space="preserve">PAGE  </w:instrText>
    </w:r>
    <w:r>
      <w:rPr>
        <w:rStyle w:val="PageNumber"/>
      </w:rPr>
      <w:fldChar w:fldCharType="separate"/>
    </w:r>
    <w:r w:rsidR="00DC1879">
      <w:rPr>
        <w:rStyle w:val="PageNumber"/>
        <w:noProof/>
      </w:rPr>
      <w:t>1</w:t>
    </w:r>
    <w:r>
      <w:rPr>
        <w:rStyle w:val="PageNumber"/>
      </w:rPr>
      <w:fldChar w:fldCharType="end"/>
    </w:r>
  </w:p>
  <w:p w:rsidR="00B27ADC" w:rsidRPr="00B66AA5" w:rsidRDefault="00B27ADC">
    <w:pPr>
      <w:pStyle w:val="Footer"/>
      <w:ind w:right="360"/>
      <w:jc w:val="center"/>
      <w:rPr>
        <w:rFonts w:ascii="Tahoma" w:hAnsi="Tahoma" w:cs="Tahoma"/>
        <w:b/>
        <w:i/>
        <w:sz w:val="18"/>
        <w:szCs w:val="18"/>
      </w:rPr>
    </w:pPr>
    <w:r w:rsidRPr="00B66AA5">
      <w:rPr>
        <w:rFonts w:ascii="Tahoma" w:hAnsi="Tahoma" w:cs="Tahoma"/>
        <w:b/>
        <w:i/>
        <w:sz w:val="18"/>
        <w:szCs w:val="18"/>
      </w:rPr>
      <w:t xml:space="preserve">This document forms part of the unaudited announcement of </w:t>
    </w:r>
    <w:proofErr w:type="spellStart"/>
    <w:r w:rsidRPr="00B66AA5">
      <w:rPr>
        <w:rFonts w:ascii="Tahoma" w:hAnsi="Tahoma" w:cs="Tahoma"/>
        <w:b/>
        <w:i/>
        <w:sz w:val="18"/>
        <w:szCs w:val="18"/>
      </w:rPr>
      <w:t>PJBum</w:t>
    </w:r>
    <w:r>
      <w:rPr>
        <w:rFonts w:ascii="Tahoma" w:hAnsi="Tahoma" w:cs="Tahoma"/>
        <w:b/>
        <w:i/>
        <w:sz w:val="18"/>
        <w:szCs w:val="18"/>
      </w:rPr>
      <w:t>i</w:t>
    </w:r>
    <w:proofErr w:type="spellEnd"/>
    <w:r>
      <w:rPr>
        <w:rFonts w:ascii="Tahoma" w:hAnsi="Tahoma" w:cs="Tahoma"/>
        <w:b/>
        <w:i/>
        <w:sz w:val="18"/>
        <w:szCs w:val="18"/>
      </w:rPr>
      <w:t xml:space="preserve"> </w:t>
    </w:r>
    <w:proofErr w:type="spellStart"/>
    <w:r>
      <w:rPr>
        <w:rFonts w:ascii="Tahoma" w:hAnsi="Tahoma" w:cs="Tahoma"/>
        <w:b/>
        <w:i/>
        <w:sz w:val="18"/>
        <w:szCs w:val="18"/>
      </w:rPr>
      <w:t>Berhad</w:t>
    </w:r>
    <w:proofErr w:type="spellEnd"/>
    <w:r>
      <w:rPr>
        <w:rFonts w:ascii="Tahoma" w:hAnsi="Tahoma" w:cs="Tahoma"/>
        <w:b/>
        <w:i/>
        <w:sz w:val="18"/>
        <w:szCs w:val="18"/>
      </w:rPr>
      <w:t xml:space="preserve"> for the financial quarter</w:t>
    </w:r>
    <w:r w:rsidRPr="00B66AA5">
      <w:rPr>
        <w:rFonts w:ascii="Tahoma" w:hAnsi="Tahoma" w:cs="Tahoma"/>
        <w:b/>
        <w:i/>
        <w:sz w:val="18"/>
        <w:szCs w:val="18"/>
      </w:rPr>
      <w:t xml:space="preserve"> ended </w:t>
    </w:r>
    <w:r>
      <w:rPr>
        <w:rFonts w:ascii="Tahoma" w:hAnsi="Tahoma" w:cs="Tahoma"/>
        <w:b/>
        <w:i/>
        <w:sz w:val="18"/>
        <w:szCs w:val="18"/>
      </w:rPr>
      <w:t>31</w:t>
    </w:r>
    <w:r w:rsidRPr="00B66AA5">
      <w:rPr>
        <w:rFonts w:ascii="Tahoma" w:hAnsi="Tahoma" w:cs="Tahoma"/>
        <w:b/>
        <w:i/>
        <w:sz w:val="18"/>
        <w:szCs w:val="18"/>
      </w:rPr>
      <w:t>/</w:t>
    </w:r>
    <w:r>
      <w:rPr>
        <w:rFonts w:ascii="Tahoma" w:hAnsi="Tahoma" w:cs="Tahoma"/>
        <w:b/>
        <w:i/>
        <w:sz w:val="18"/>
        <w:szCs w:val="18"/>
      </w:rPr>
      <w:t>03/2012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AA3" w:rsidRDefault="00847AA3">
      <w:r>
        <w:separator/>
      </w:r>
    </w:p>
  </w:footnote>
  <w:footnote w:type="continuationSeparator" w:id="0">
    <w:p w:rsidR="00847AA3" w:rsidRDefault="00847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DC" w:rsidRPr="009A1D5A" w:rsidRDefault="00B27ADC">
    <w:pPr>
      <w:pStyle w:val="Title"/>
      <w:rPr>
        <w:rFonts w:ascii="Tahoma" w:hAnsi="Tahoma" w:cs="Tahoma"/>
        <w:sz w:val="28"/>
        <w:szCs w:val="28"/>
      </w:rPr>
    </w:pPr>
    <w:r w:rsidRPr="009A1D5A">
      <w:rPr>
        <w:rFonts w:ascii="Tahoma" w:hAnsi="Tahoma" w:cs="Tahoma"/>
        <w:sz w:val="28"/>
        <w:szCs w:val="28"/>
      </w:rPr>
      <w:t xml:space="preserve">PJBUMI BERHAD                  </w:t>
    </w:r>
  </w:p>
  <w:p w:rsidR="00B27ADC" w:rsidRDefault="00B27ADC">
    <w:pPr>
      <w:pStyle w:val="Subtitle"/>
      <w:jc w:val="left"/>
      <w:rPr>
        <w:rFonts w:ascii="Tahoma" w:hAnsi="Tahoma" w:cs="Tahoma"/>
      </w:rPr>
    </w:pPr>
    <w:r w:rsidRPr="009A1D5A">
      <w:rPr>
        <w:rFonts w:ascii="Tahoma" w:hAnsi="Tahoma" w:cs="Tahoma"/>
      </w:rPr>
      <w:t xml:space="preserve">                       </w:t>
    </w:r>
    <w:r>
      <w:rPr>
        <w:rFonts w:ascii="Tahoma" w:hAnsi="Tahoma" w:cs="Tahoma"/>
      </w:rPr>
      <w:t xml:space="preserve">                        </w:t>
    </w:r>
    <w:r w:rsidRPr="009A1D5A">
      <w:rPr>
        <w:rFonts w:ascii="Tahoma" w:hAnsi="Tahoma" w:cs="Tahoma"/>
      </w:rPr>
      <w:t>Company No:  141537-M</w:t>
    </w:r>
  </w:p>
  <w:p w:rsidR="00B27ADC" w:rsidRDefault="00B27ADC">
    <w:pPr>
      <w:pStyle w:val="Subtitle"/>
      <w:jc w:val="left"/>
      <w:rPr>
        <w:rFonts w:ascii="Tahoma" w:hAnsi="Tahoma" w:cs="Tahoma"/>
      </w:rPr>
    </w:pPr>
  </w:p>
  <w:p w:rsidR="00B27ADC" w:rsidRPr="009A1D5A" w:rsidRDefault="00B27ADC" w:rsidP="00E6245E">
    <w:pPr>
      <w:pStyle w:val="BodyText"/>
      <w:jc w:val="center"/>
      <w:rPr>
        <w:rFonts w:ascii="Tahoma" w:hAnsi="Tahoma" w:cs="Tahoma"/>
        <w:sz w:val="22"/>
        <w:szCs w:val="22"/>
      </w:rPr>
    </w:pPr>
    <w:r>
      <w:rPr>
        <w:rFonts w:ascii="Tahoma" w:hAnsi="Tahoma" w:cs="Tahoma"/>
        <w:sz w:val="22"/>
        <w:szCs w:val="22"/>
      </w:rPr>
      <w:t>NOTES TO THE UN</w:t>
    </w:r>
    <w:r w:rsidRPr="009A1D5A">
      <w:rPr>
        <w:rFonts w:ascii="Tahoma" w:hAnsi="Tahoma" w:cs="Tahoma"/>
        <w:sz w:val="22"/>
        <w:szCs w:val="22"/>
      </w:rPr>
      <w:t>AUDITED RESULTS FOR</w:t>
    </w:r>
  </w:p>
  <w:p w:rsidR="00B27ADC" w:rsidRPr="009A1D5A" w:rsidRDefault="00B27ADC" w:rsidP="005829CC">
    <w:pPr>
      <w:pStyle w:val="BodyText"/>
      <w:jc w:val="center"/>
      <w:rPr>
        <w:rFonts w:ascii="Tahoma" w:hAnsi="Tahoma" w:cs="Tahoma"/>
        <w:sz w:val="22"/>
        <w:szCs w:val="22"/>
      </w:rPr>
    </w:pPr>
    <w:r>
      <w:rPr>
        <w:rFonts w:ascii="Tahoma" w:hAnsi="Tahoma" w:cs="Tahoma"/>
        <w:sz w:val="22"/>
        <w:szCs w:val="22"/>
      </w:rPr>
      <w:t>THE FINANCIAL PERIOD</w:t>
    </w:r>
    <w:r w:rsidRPr="009A1D5A">
      <w:rPr>
        <w:rFonts w:ascii="Tahoma" w:hAnsi="Tahoma" w:cs="Tahoma"/>
        <w:sz w:val="22"/>
        <w:szCs w:val="22"/>
      </w:rPr>
      <w:t xml:space="preserve"> ENDED </w:t>
    </w:r>
    <w:r>
      <w:rPr>
        <w:rFonts w:ascii="Tahoma" w:hAnsi="Tahoma" w:cs="Tahoma"/>
        <w:sz w:val="22"/>
        <w:szCs w:val="22"/>
      </w:rPr>
      <w:t>31 MARCH 2012</w:t>
    </w:r>
  </w:p>
  <w:p w:rsidR="00B27ADC" w:rsidRDefault="00B27ADC" w:rsidP="00E6245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C7B"/>
    <w:multiLevelType w:val="hybridMultilevel"/>
    <w:tmpl w:val="7D78E76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5C269E"/>
    <w:multiLevelType w:val="hybridMultilevel"/>
    <w:tmpl w:val="81E819F2"/>
    <w:lvl w:ilvl="0" w:tplc="FFFFFFFF">
      <w:numFmt w:val="none"/>
      <w:lvlText w:val=""/>
      <w:legacy w:legacy="1" w:legacySpace="0" w:legacyIndent="360"/>
      <w:lvlJc w:val="left"/>
      <w:pPr>
        <w:ind w:left="720" w:hanging="360"/>
      </w:pPr>
      <w:rPr>
        <w:rFonts w:ascii="Wingdings" w:hAnsi="Wingdings"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06714577"/>
    <w:multiLevelType w:val="hybridMultilevel"/>
    <w:tmpl w:val="6D8AB308"/>
    <w:lvl w:ilvl="0" w:tplc="FFFFFFFF">
      <w:start w:val="1"/>
      <w:numFmt w:val="lowerRoman"/>
      <w:lvlText w:val="%1."/>
      <w:lvlJc w:val="righ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0CC927B3"/>
    <w:multiLevelType w:val="hybridMultilevel"/>
    <w:tmpl w:val="7A7E958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57294E"/>
    <w:multiLevelType w:val="hybridMultilevel"/>
    <w:tmpl w:val="B3F2DC1A"/>
    <w:lvl w:ilvl="0" w:tplc="FFFFFFFF">
      <w:numFmt w:val="none"/>
      <w:lvlText w:val=""/>
      <w:legacy w:legacy="1" w:legacySpace="0" w:legacyIndent="360"/>
      <w:lvlJc w:val="left"/>
      <w:pPr>
        <w:ind w:left="720" w:hanging="360"/>
      </w:pPr>
      <w:rPr>
        <w:rFonts w:ascii="Wingdings" w:hAnsi="Wingdings"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15A17CBB"/>
    <w:multiLevelType w:val="hybridMultilevel"/>
    <w:tmpl w:val="C8E0F1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67A0C95"/>
    <w:multiLevelType w:val="hybridMultilevel"/>
    <w:tmpl w:val="DF706BF0"/>
    <w:lvl w:ilvl="0" w:tplc="04090013">
      <w:start w:val="1"/>
      <w:numFmt w:val="upperRoman"/>
      <w:lvlText w:val="%1."/>
      <w:lvlJc w:val="right"/>
      <w:pPr>
        <w:tabs>
          <w:tab w:val="num" w:pos="1080"/>
        </w:tabs>
        <w:ind w:left="108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E06F2F"/>
    <w:multiLevelType w:val="hybridMultilevel"/>
    <w:tmpl w:val="6D96757E"/>
    <w:lvl w:ilvl="0" w:tplc="FFFFFFFF">
      <w:start w:val="1"/>
      <w:numFmt w:val="lowerRoman"/>
      <w:lvlText w:val="%1."/>
      <w:lvlJc w:val="righ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D1F6333"/>
    <w:multiLevelType w:val="hybridMultilevel"/>
    <w:tmpl w:val="AC46ADE0"/>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DDE11BC"/>
    <w:multiLevelType w:val="hybridMultilevel"/>
    <w:tmpl w:val="26F0521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05E5DE2"/>
    <w:multiLevelType w:val="hybridMultilevel"/>
    <w:tmpl w:val="D472CFC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0D41345"/>
    <w:multiLevelType w:val="hybridMultilevel"/>
    <w:tmpl w:val="E5C65CB6"/>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37B4D04"/>
    <w:multiLevelType w:val="hybridMultilevel"/>
    <w:tmpl w:val="0D3AA57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545147C"/>
    <w:multiLevelType w:val="hybridMultilevel"/>
    <w:tmpl w:val="3312B69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25FE304B"/>
    <w:multiLevelType w:val="hybridMultilevel"/>
    <w:tmpl w:val="B51EB95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28D22878"/>
    <w:multiLevelType w:val="hybridMultilevel"/>
    <w:tmpl w:val="7C46EF8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D5133C"/>
    <w:multiLevelType w:val="hybridMultilevel"/>
    <w:tmpl w:val="3D2663C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15C6047"/>
    <w:multiLevelType w:val="hybridMultilevel"/>
    <w:tmpl w:val="128006F0"/>
    <w:lvl w:ilvl="0" w:tplc="6680AFB2">
      <w:start w:val="1"/>
      <w:numFmt w:val="low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349A48E2"/>
    <w:multiLevelType w:val="hybridMultilevel"/>
    <w:tmpl w:val="9072DE9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A080BBF"/>
    <w:multiLevelType w:val="hybridMultilevel"/>
    <w:tmpl w:val="A5E25FF2"/>
    <w:lvl w:ilvl="0" w:tplc="FFFFFFFF">
      <w:start w:val="1"/>
      <w:numFmt w:val="upperRoman"/>
      <w:lvlText w:val="%1."/>
      <w:lvlJc w:val="right"/>
      <w:pPr>
        <w:tabs>
          <w:tab w:val="num" w:pos="1080"/>
        </w:tabs>
        <w:ind w:left="1080" w:hanging="18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nsid w:val="43CA58B1"/>
    <w:multiLevelType w:val="singleLevel"/>
    <w:tmpl w:val="04090017"/>
    <w:lvl w:ilvl="0">
      <w:start w:val="1"/>
      <w:numFmt w:val="lowerLetter"/>
      <w:lvlText w:val="%1)"/>
      <w:lvlJc w:val="left"/>
      <w:pPr>
        <w:tabs>
          <w:tab w:val="num" w:pos="1080"/>
        </w:tabs>
        <w:ind w:left="1080" w:hanging="360"/>
      </w:pPr>
    </w:lvl>
  </w:abstractNum>
  <w:abstractNum w:abstractNumId="21">
    <w:nsid w:val="4D48129C"/>
    <w:multiLevelType w:val="hybridMultilevel"/>
    <w:tmpl w:val="6D96757E"/>
    <w:lvl w:ilvl="0" w:tplc="FFFFFFFF">
      <w:numFmt w:val="none"/>
      <w:lvlText w:val=""/>
      <w:legacy w:legacy="1" w:legacySpace="360" w:legacyIndent="360"/>
      <w:lvlJc w:val="left"/>
      <w:pPr>
        <w:ind w:left="720" w:hanging="360"/>
      </w:pPr>
      <w:rPr>
        <w:rFonts w:ascii="Wingdings" w:hAnsi="Wingdings" w:hint="default"/>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D835790"/>
    <w:multiLevelType w:val="hybridMultilevel"/>
    <w:tmpl w:val="35427AE6"/>
    <w:lvl w:ilvl="0" w:tplc="FFFFFFFF">
      <w:start w:val="1"/>
      <w:numFmt w:val="lowerLetter"/>
      <w:lvlText w:val="%1)"/>
      <w:lvlJc w:val="left"/>
      <w:pPr>
        <w:tabs>
          <w:tab w:val="num" w:pos="1080"/>
        </w:tabs>
        <w:ind w:left="1080" w:hanging="360"/>
      </w:pPr>
      <w:rPr>
        <w:rFonts w:hint="default"/>
      </w:rPr>
    </w:lvl>
    <w:lvl w:ilvl="1" w:tplc="FFFFFFFF">
      <w:start w:val="2"/>
      <w:numFmt w:val="lowerRoman"/>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4F7B6985"/>
    <w:multiLevelType w:val="hybridMultilevel"/>
    <w:tmpl w:val="B43606C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10D2368"/>
    <w:multiLevelType w:val="hybridMultilevel"/>
    <w:tmpl w:val="E64A4B9C"/>
    <w:lvl w:ilvl="0" w:tplc="FFFFFFFF">
      <w:start w:val="1"/>
      <w:numFmt w:val="lowerRoman"/>
      <w:lvlText w:val="%1."/>
      <w:lvlJc w:val="right"/>
      <w:pPr>
        <w:tabs>
          <w:tab w:val="num" w:pos="720"/>
        </w:tabs>
        <w:ind w:left="720" w:hanging="360"/>
      </w:pPr>
    </w:lvl>
    <w:lvl w:ilvl="1" w:tplc="FFFFFFFF">
      <w:start w:val="2"/>
      <w:numFmt w:val="lowerRoman"/>
      <w:lvlText w:val="(%2)"/>
      <w:lvlJc w:val="left"/>
      <w:pPr>
        <w:tabs>
          <w:tab w:val="num" w:pos="1800"/>
        </w:tabs>
        <w:ind w:left="180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12711DF"/>
    <w:multiLevelType w:val="hybridMultilevel"/>
    <w:tmpl w:val="D7E03DC4"/>
    <w:lvl w:ilvl="0" w:tplc="BE5EC032">
      <w:start w:val="1"/>
      <w:numFmt w:val="lowerLetter"/>
      <w:lvlText w:val="(%1)"/>
      <w:lvlJc w:val="left"/>
      <w:pPr>
        <w:tabs>
          <w:tab w:val="num" w:pos="720"/>
        </w:tabs>
        <w:ind w:left="720" w:hanging="360"/>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26">
    <w:nsid w:val="53440D0C"/>
    <w:multiLevelType w:val="hybridMultilevel"/>
    <w:tmpl w:val="5E322124"/>
    <w:lvl w:ilvl="0" w:tplc="FFFFFFFF">
      <w:start w:val="1"/>
      <w:numFmt w:val="lowerRoman"/>
      <w:lvlText w:val="%1."/>
      <w:lvlJc w:val="right"/>
      <w:pPr>
        <w:tabs>
          <w:tab w:val="num" w:pos="360"/>
        </w:tabs>
        <w:ind w:left="360" w:hanging="360"/>
      </w:p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5907200B"/>
    <w:multiLevelType w:val="hybridMultilevel"/>
    <w:tmpl w:val="F78EB4D4"/>
    <w:lvl w:ilvl="0" w:tplc="FFFFFFFF">
      <w:start w:val="2"/>
      <w:numFmt w:val="lowerLetter"/>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FC428AD"/>
    <w:multiLevelType w:val="hybridMultilevel"/>
    <w:tmpl w:val="8AC8B370"/>
    <w:lvl w:ilvl="0" w:tplc="BE5EC032">
      <w:start w:val="1"/>
      <w:numFmt w:val="lowerLetter"/>
      <w:lvlText w:val="(%1)"/>
      <w:lvlJc w:val="left"/>
      <w:pPr>
        <w:tabs>
          <w:tab w:val="num" w:pos="720"/>
        </w:tabs>
        <w:ind w:left="720" w:hanging="360"/>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29">
    <w:nsid w:val="65960376"/>
    <w:multiLevelType w:val="hybridMultilevel"/>
    <w:tmpl w:val="D472CF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5E25B11"/>
    <w:multiLevelType w:val="hybridMultilevel"/>
    <w:tmpl w:val="6BD413B8"/>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13437E"/>
    <w:multiLevelType w:val="hybridMultilevel"/>
    <w:tmpl w:val="F61675C0"/>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2E740B"/>
    <w:multiLevelType w:val="hybridMultilevel"/>
    <w:tmpl w:val="266EA80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nsid w:val="6D6B6BA8"/>
    <w:multiLevelType w:val="hybridMultilevel"/>
    <w:tmpl w:val="B77CC3FE"/>
    <w:lvl w:ilvl="0" w:tplc="2EA4B8A2">
      <w:start w:val="9"/>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DA11534"/>
    <w:multiLevelType w:val="multilevel"/>
    <w:tmpl w:val="4650BA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F6127C2"/>
    <w:multiLevelType w:val="hybridMultilevel"/>
    <w:tmpl w:val="C97E6C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nsid w:val="755346B4"/>
    <w:multiLevelType w:val="hybridMultilevel"/>
    <w:tmpl w:val="691A6538"/>
    <w:lvl w:ilvl="0" w:tplc="FFFFFFFF">
      <w:start w:val="1"/>
      <w:numFmt w:val="lowerRoman"/>
      <w:lvlText w:val="%1."/>
      <w:lvlJc w:val="righ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76DE01A2"/>
    <w:multiLevelType w:val="hybridMultilevel"/>
    <w:tmpl w:val="EA904CE8"/>
    <w:lvl w:ilvl="0" w:tplc="1876A6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392BBB"/>
    <w:multiLevelType w:val="hybridMultilevel"/>
    <w:tmpl w:val="3D2663C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DE227C9"/>
    <w:multiLevelType w:val="hybridMultilevel"/>
    <w:tmpl w:val="6A0A905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Letter"/>
      <w:lvlText w:val="%3)"/>
      <w:lvlJc w:val="left"/>
      <w:pPr>
        <w:tabs>
          <w:tab w:val="num" w:pos="1980"/>
        </w:tabs>
        <w:ind w:left="1980" w:hanging="360"/>
      </w:pPr>
      <w:rPr>
        <w:rFonts w:hint="default"/>
      </w:rPr>
    </w:lvl>
    <w:lvl w:ilvl="3" w:tplc="FFFFFFFF">
      <w:start w:val="1"/>
      <w:numFmt w:val="decimal"/>
      <w:lvlText w:val="%4."/>
      <w:lvlJc w:val="left"/>
      <w:pPr>
        <w:tabs>
          <w:tab w:val="num" w:pos="2520"/>
        </w:tabs>
        <w:ind w:left="2520" w:hanging="360"/>
      </w:pPr>
    </w:lvl>
    <w:lvl w:ilvl="4" w:tplc="7CE86846">
      <w:start w:val="1"/>
      <w:numFmt w:val="lowerLetter"/>
      <w:lvlText w:val="(%5)"/>
      <w:lvlJc w:val="left"/>
      <w:pPr>
        <w:tabs>
          <w:tab w:val="num" w:pos="3240"/>
        </w:tabs>
        <w:ind w:left="3240" w:hanging="360"/>
      </w:pPr>
      <w:rPr>
        <w:rFonts w:hint="default"/>
      </w:rPr>
    </w:lvl>
    <w:lvl w:ilvl="5" w:tplc="FFFFFFFF">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nsid w:val="7FA119B4"/>
    <w:multiLevelType w:val="hybridMultilevel"/>
    <w:tmpl w:val="9B9073D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nsid w:val="7FC50875"/>
    <w:multiLevelType w:val="hybridMultilevel"/>
    <w:tmpl w:val="5E3221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9"/>
  </w:num>
  <w:num w:numId="2">
    <w:abstractNumId w:val="29"/>
  </w:num>
  <w:num w:numId="3">
    <w:abstractNumId w:val="10"/>
  </w:num>
  <w:num w:numId="4">
    <w:abstractNumId w:val="0"/>
  </w:num>
  <w:num w:numId="5">
    <w:abstractNumId w:val="15"/>
  </w:num>
  <w:num w:numId="6">
    <w:abstractNumId w:val="23"/>
  </w:num>
  <w:num w:numId="7">
    <w:abstractNumId w:val="5"/>
  </w:num>
  <w:num w:numId="8">
    <w:abstractNumId w:val="9"/>
  </w:num>
  <w:num w:numId="9">
    <w:abstractNumId w:val="16"/>
  </w:num>
  <w:num w:numId="10">
    <w:abstractNumId w:val="38"/>
  </w:num>
  <w:num w:numId="11">
    <w:abstractNumId w:val="27"/>
  </w:num>
  <w:num w:numId="12">
    <w:abstractNumId w:val="24"/>
  </w:num>
  <w:num w:numId="13">
    <w:abstractNumId w:val="35"/>
  </w:num>
  <w:num w:numId="14">
    <w:abstractNumId w:val="14"/>
  </w:num>
  <w:num w:numId="15">
    <w:abstractNumId w:val="20"/>
  </w:num>
  <w:num w:numId="16">
    <w:abstractNumId w:val="41"/>
  </w:num>
  <w:num w:numId="17">
    <w:abstractNumId w:val="26"/>
  </w:num>
  <w:num w:numId="18">
    <w:abstractNumId w:val="18"/>
  </w:num>
  <w:num w:numId="19">
    <w:abstractNumId w:val="7"/>
  </w:num>
  <w:num w:numId="20">
    <w:abstractNumId w:val="32"/>
  </w:num>
  <w:num w:numId="21">
    <w:abstractNumId w:val="2"/>
  </w:num>
  <w:num w:numId="22">
    <w:abstractNumId w:val="36"/>
  </w:num>
  <w:num w:numId="23">
    <w:abstractNumId w:val="21"/>
  </w:num>
  <w:num w:numId="24">
    <w:abstractNumId w:val="4"/>
  </w:num>
  <w:num w:numId="25">
    <w:abstractNumId w:val="19"/>
  </w:num>
  <w:num w:numId="26">
    <w:abstractNumId w:val="8"/>
  </w:num>
  <w:num w:numId="27">
    <w:abstractNumId w:val="1"/>
  </w:num>
  <w:num w:numId="28">
    <w:abstractNumId w:val="40"/>
  </w:num>
  <w:num w:numId="29">
    <w:abstractNumId w:val="13"/>
  </w:num>
  <w:num w:numId="30">
    <w:abstractNumId w:val="22"/>
  </w:num>
  <w:num w:numId="31">
    <w:abstractNumId w:val="11"/>
  </w:num>
  <w:num w:numId="32">
    <w:abstractNumId w:val="33"/>
  </w:num>
  <w:num w:numId="33">
    <w:abstractNumId w:val="17"/>
  </w:num>
  <w:num w:numId="34">
    <w:abstractNumId w:val="30"/>
  </w:num>
  <w:num w:numId="35">
    <w:abstractNumId w:val="3"/>
  </w:num>
  <w:num w:numId="36">
    <w:abstractNumId w:val="6"/>
  </w:num>
  <w:num w:numId="37">
    <w:abstractNumId w:val="12"/>
  </w:num>
  <w:num w:numId="38">
    <w:abstractNumId w:val="28"/>
  </w:num>
  <w:num w:numId="39">
    <w:abstractNumId w:val="25"/>
  </w:num>
  <w:num w:numId="40">
    <w:abstractNumId w:val="34"/>
  </w:num>
  <w:num w:numId="41">
    <w:abstractNumId w:val="37"/>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0E54"/>
    <w:rsid w:val="00007F0F"/>
    <w:rsid w:val="00013956"/>
    <w:rsid w:val="0001539D"/>
    <w:rsid w:val="000345C9"/>
    <w:rsid w:val="00036376"/>
    <w:rsid w:val="000442C3"/>
    <w:rsid w:val="00046114"/>
    <w:rsid w:val="0004694C"/>
    <w:rsid w:val="0005432F"/>
    <w:rsid w:val="00055650"/>
    <w:rsid w:val="00056A6A"/>
    <w:rsid w:val="000858B0"/>
    <w:rsid w:val="000B2595"/>
    <w:rsid w:val="000C1F6C"/>
    <w:rsid w:val="000C3B10"/>
    <w:rsid w:val="000D0026"/>
    <w:rsid w:val="000D3777"/>
    <w:rsid w:val="000D585B"/>
    <w:rsid w:val="000D625B"/>
    <w:rsid w:val="000E0014"/>
    <w:rsid w:val="000F28D7"/>
    <w:rsid w:val="000F6766"/>
    <w:rsid w:val="00101BA5"/>
    <w:rsid w:val="00102260"/>
    <w:rsid w:val="0010257F"/>
    <w:rsid w:val="0011460D"/>
    <w:rsid w:val="00117400"/>
    <w:rsid w:val="001256BD"/>
    <w:rsid w:val="001333DE"/>
    <w:rsid w:val="0014242B"/>
    <w:rsid w:val="0014252B"/>
    <w:rsid w:val="00142710"/>
    <w:rsid w:val="00143865"/>
    <w:rsid w:val="0014486C"/>
    <w:rsid w:val="0014785B"/>
    <w:rsid w:val="001508DE"/>
    <w:rsid w:val="00162CC0"/>
    <w:rsid w:val="001643C0"/>
    <w:rsid w:val="0016643C"/>
    <w:rsid w:val="00170CDC"/>
    <w:rsid w:val="001823BD"/>
    <w:rsid w:val="0019118F"/>
    <w:rsid w:val="001929FC"/>
    <w:rsid w:val="0019450C"/>
    <w:rsid w:val="00194D86"/>
    <w:rsid w:val="001A470F"/>
    <w:rsid w:val="001B38C1"/>
    <w:rsid w:val="001B4630"/>
    <w:rsid w:val="001B78AB"/>
    <w:rsid w:val="001C16AA"/>
    <w:rsid w:val="001C2BC2"/>
    <w:rsid w:val="001C5E82"/>
    <w:rsid w:val="001D7C6E"/>
    <w:rsid w:val="001E21AA"/>
    <w:rsid w:val="001E52D3"/>
    <w:rsid w:val="001E7E67"/>
    <w:rsid w:val="001F1B06"/>
    <w:rsid w:val="001F7A65"/>
    <w:rsid w:val="00201DCB"/>
    <w:rsid w:val="002102B3"/>
    <w:rsid w:val="00212202"/>
    <w:rsid w:val="00214997"/>
    <w:rsid w:val="002174E0"/>
    <w:rsid w:val="00226255"/>
    <w:rsid w:val="0023022D"/>
    <w:rsid w:val="00231CB0"/>
    <w:rsid w:val="00235A15"/>
    <w:rsid w:val="00240266"/>
    <w:rsid w:val="002520EE"/>
    <w:rsid w:val="002524E4"/>
    <w:rsid w:val="00252751"/>
    <w:rsid w:val="00254D4F"/>
    <w:rsid w:val="0026213B"/>
    <w:rsid w:val="00264EAB"/>
    <w:rsid w:val="002768B5"/>
    <w:rsid w:val="00290F39"/>
    <w:rsid w:val="00291059"/>
    <w:rsid w:val="002931F6"/>
    <w:rsid w:val="0029746E"/>
    <w:rsid w:val="002976D4"/>
    <w:rsid w:val="002A383C"/>
    <w:rsid w:val="002A46F9"/>
    <w:rsid w:val="002A569C"/>
    <w:rsid w:val="002A781D"/>
    <w:rsid w:val="002B0F95"/>
    <w:rsid w:val="002B0FBE"/>
    <w:rsid w:val="002B620A"/>
    <w:rsid w:val="002C0677"/>
    <w:rsid w:val="002C766B"/>
    <w:rsid w:val="002D2421"/>
    <w:rsid w:val="002D24B8"/>
    <w:rsid w:val="00301861"/>
    <w:rsid w:val="00320C26"/>
    <w:rsid w:val="00326E5D"/>
    <w:rsid w:val="003336C1"/>
    <w:rsid w:val="00366536"/>
    <w:rsid w:val="003667E8"/>
    <w:rsid w:val="00372659"/>
    <w:rsid w:val="00377C87"/>
    <w:rsid w:val="003802E0"/>
    <w:rsid w:val="003808EA"/>
    <w:rsid w:val="00382BF9"/>
    <w:rsid w:val="00383A13"/>
    <w:rsid w:val="003B11D6"/>
    <w:rsid w:val="003B5F89"/>
    <w:rsid w:val="003B75A7"/>
    <w:rsid w:val="003C12D1"/>
    <w:rsid w:val="003D05B1"/>
    <w:rsid w:val="003F088B"/>
    <w:rsid w:val="003F2A8A"/>
    <w:rsid w:val="003F4538"/>
    <w:rsid w:val="004115DF"/>
    <w:rsid w:val="00411885"/>
    <w:rsid w:val="00414268"/>
    <w:rsid w:val="00427CAE"/>
    <w:rsid w:val="00433560"/>
    <w:rsid w:val="0044103E"/>
    <w:rsid w:val="00441CF8"/>
    <w:rsid w:val="004435AF"/>
    <w:rsid w:val="00451554"/>
    <w:rsid w:val="00465054"/>
    <w:rsid w:val="00471FEB"/>
    <w:rsid w:val="00476C05"/>
    <w:rsid w:val="0048011D"/>
    <w:rsid w:val="00496C15"/>
    <w:rsid w:val="004A4531"/>
    <w:rsid w:val="004B4293"/>
    <w:rsid w:val="004D02EB"/>
    <w:rsid w:val="004D1170"/>
    <w:rsid w:val="004E115C"/>
    <w:rsid w:val="004F40DF"/>
    <w:rsid w:val="004F461B"/>
    <w:rsid w:val="00500E6C"/>
    <w:rsid w:val="005039F1"/>
    <w:rsid w:val="0051602A"/>
    <w:rsid w:val="005164EF"/>
    <w:rsid w:val="005213E1"/>
    <w:rsid w:val="00522547"/>
    <w:rsid w:val="0054152C"/>
    <w:rsid w:val="00556F45"/>
    <w:rsid w:val="00575462"/>
    <w:rsid w:val="00575DBD"/>
    <w:rsid w:val="00577867"/>
    <w:rsid w:val="005829CC"/>
    <w:rsid w:val="005952F7"/>
    <w:rsid w:val="00595663"/>
    <w:rsid w:val="005A27BE"/>
    <w:rsid w:val="005B52CE"/>
    <w:rsid w:val="005C69F7"/>
    <w:rsid w:val="005E4DD2"/>
    <w:rsid w:val="005F6068"/>
    <w:rsid w:val="00603CAC"/>
    <w:rsid w:val="006100AD"/>
    <w:rsid w:val="00610605"/>
    <w:rsid w:val="00611682"/>
    <w:rsid w:val="00611D17"/>
    <w:rsid w:val="00615152"/>
    <w:rsid w:val="00622E12"/>
    <w:rsid w:val="00630C70"/>
    <w:rsid w:val="00633496"/>
    <w:rsid w:val="00634687"/>
    <w:rsid w:val="00640882"/>
    <w:rsid w:val="00642937"/>
    <w:rsid w:val="00643282"/>
    <w:rsid w:val="00654014"/>
    <w:rsid w:val="00660D6C"/>
    <w:rsid w:val="006613D5"/>
    <w:rsid w:val="006621E5"/>
    <w:rsid w:val="00662FBA"/>
    <w:rsid w:val="00671FF6"/>
    <w:rsid w:val="00680B4E"/>
    <w:rsid w:val="006817B6"/>
    <w:rsid w:val="00683E57"/>
    <w:rsid w:val="0068743F"/>
    <w:rsid w:val="00687500"/>
    <w:rsid w:val="006925E5"/>
    <w:rsid w:val="006A7024"/>
    <w:rsid w:val="006B01F5"/>
    <w:rsid w:val="006B23AF"/>
    <w:rsid w:val="006B39BE"/>
    <w:rsid w:val="006B61C9"/>
    <w:rsid w:val="006C1442"/>
    <w:rsid w:val="006E1FD3"/>
    <w:rsid w:val="006E7376"/>
    <w:rsid w:val="00713BF4"/>
    <w:rsid w:val="007212A1"/>
    <w:rsid w:val="00725CA8"/>
    <w:rsid w:val="00726CDD"/>
    <w:rsid w:val="00727B84"/>
    <w:rsid w:val="007324A8"/>
    <w:rsid w:val="00734942"/>
    <w:rsid w:val="00735DCE"/>
    <w:rsid w:val="0073710B"/>
    <w:rsid w:val="007376F0"/>
    <w:rsid w:val="00740611"/>
    <w:rsid w:val="00745E1A"/>
    <w:rsid w:val="0077652C"/>
    <w:rsid w:val="007802AB"/>
    <w:rsid w:val="00783A8B"/>
    <w:rsid w:val="007901E9"/>
    <w:rsid w:val="00790C99"/>
    <w:rsid w:val="007A0CA8"/>
    <w:rsid w:val="007B2C4B"/>
    <w:rsid w:val="007B36D4"/>
    <w:rsid w:val="007B5009"/>
    <w:rsid w:val="007C0462"/>
    <w:rsid w:val="007C56BC"/>
    <w:rsid w:val="007C5E07"/>
    <w:rsid w:val="0080012A"/>
    <w:rsid w:val="00801D1C"/>
    <w:rsid w:val="00814083"/>
    <w:rsid w:val="00815885"/>
    <w:rsid w:val="00817357"/>
    <w:rsid w:val="00820554"/>
    <w:rsid w:val="008224EB"/>
    <w:rsid w:val="00830899"/>
    <w:rsid w:val="00846B96"/>
    <w:rsid w:val="00847AA3"/>
    <w:rsid w:val="00850292"/>
    <w:rsid w:val="00850D11"/>
    <w:rsid w:val="008538FC"/>
    <w:rsid w:val="008547F6"/>
    <w:rsid w:val="00863DB7"/>
    <w:rsid w:val="00876CBF"/>
    <w:rsid w:val="00887817"/>
    <w:rsid w:val="00892E89"/>
    <w:rsid w:val="00894FED"/>
    <w:rsid w:val="008A2351"/>
    <w:rsid w:val="008B1A59"/>
    <w:rsid w:val="008B4C5D"/>
    <w:rsid w:val="008B5770"/>
    <w:rsid w:val="008C19CB"/>
    <w:rsid w:val="008C40A4"/>
    <w:rsid w:val="008D1023"/>
    <w:rsid w:val="008E111F"/>
    <w:rsid w:val="00900AB2"/>
    <w:rsid w:val="00900B78"/>
    <w:rsid w:val="00903AC5"/>
    <w:rsid w:val="00906B71"/>
    <w:rsid w:val="0091743B"/>
    <w:rsid w:val="0092422F"/>
    <w:rsid w:val="0092560B"/>
    <w:rsid w:val="009258DB"/>
    <w:rsid w:val="0093104D"/>
    <w:rsid w:val="009335EF"/>
    <w:rsid w:val="00934BFE"/>
    <w:rsid w:val="009475C5"/>
    <w:rsid w:val="00947679"/>
    <w:rsid w:val="009617FB"/>
    <w:rsid w:val="0097093A"/>
    <w:rsid w:val="00971D95"/>
    <w:rsid w:val="009736F9"/>
    <w:rsid w:val="00976ED5"/>
    <w:rsid w:val="0098017F"/>
    <w:rsid w:val="00981B7E"/>
    <w:rsid w:val="00991F27"/>
    <w:rsid w:val="009930D8"/>
    <w:rsid w:val="00993732"/>
    <w:rsid w:val="009A1D5A"/>
    <w:rsid w:val="009A4BCD"/>
    <w:rsid w:val="009A6853"/>
    <w:rsid w:val="009B7AC6"/>
    <w:rsid w:val="009C35DF"/>
    <w:rsid w:val="009C42DF"/>
    <w:rsid w:val="009D0176"/>
    <w:rsid w:val="009D6636"/>
    <w:rsid w:val="009D6B8A"/>
    <w:rsid w:val="009D759A"/>
    <w:rsid w:val="009D7BE5"/>
    <w:rsid w:val="009E303F"/>
    <w:rsid w:val="009E408C"/>
    <w:rsid w:val="009E667F"/>
    <w:rsid w:val="009F3348"/>
    <w:rsid w:val="00A067AB"/>
    <w:rsid w:val="00A16F1C"/>
    <w:rsid w:val="00A26589"/>
    <w:rsid w:val="00A334EA"/>
    <w:rsid w:val="00A40C3D"/>
    <w:rsid w:val="00A4108E"/>
    <w:rsid w:val="00A44F1C"/>
    <w:rsid w:val="00A5671D"/>
    <w:rsid w:val="00A75998"/>
    <w:rsid w:val="00A83C04"/>
    <w:rsid w:val="00A91D18"/>
    <w:rsid w:val="00A92850"/>
    <w:rsid w:val="00A92E85"/>
    <w:rsid w:val="00A9716E"/>
    <w:rsid w:val="00A97AEE"/>
    <w:rsid w:val="00AA22AB"/>
    <w:rsid w:val="00AD2141"/>
    <w:rsid w:val="00AD5F11"/>
    <w:rsid w:val="00AD6530"/>
    <w:rsid w:val="00AD664E"/>
    <w:rsid w:val="00AF0C2D"/>
    <w:rsid w:val="00AF2C0E"/>
    <w:rsid w:val="00AF2FEB"/>
    <w:rsid w:val="00B0054D"/>
    <w:rsid w:val="00B11D9F"/>
    <w:rsid w:val="00B14949"/>
    <w:rsid w:val="00B16500"/>
    <w:rsid w:val="00B21F9C"/>
    <w:rsid w:val="00B25E84"/>
    <w:rsid w:val="00B27ADC"/>
    <w:rsid w:val="00B30DE7"/>
    <w:rsid w:val="00B35282"/>
    <w:rsid w:val="00B3588A"/>
    <w:rsid w:val="00B45B68"/>
    <w:rsid w:val="00B66AA5"/>
    <w:rsid w:val="00B82260"/>
    <w:rsid w:val="00BA0B8A"/>
    <w:rsid w:val="00BA40DF"/>
    <w:rsid w:val="00BA5700"/>
    <w:rsid w:val="00BC5FEC"/>
    <w:rsid w:val="00BC7B9E"/>
    <w:rsid w:val="00BD06CB"/>
    <w:rsid w:val="00BD4ED3"/>
    <w:rsid w:val="00BD583F"/>
    <w:rsid w:val="00BE030E"/>
    <w:rsid w:val="00BE3538"/>
    <w:rsid w:val="00BE3FC2"/>
    <w:rsid w:val="00BF2FD1"/>
    <w:rsid w:val="00C0088E"/>
    <w:rsid w:val="00C142A5"/>
    <w:rsid w:val="00C151E4"/>
    <w:rsid w:val="00C2246C"/>
    <w:rsid w:val="00C22598"/>
    <w:rsid w:val="00C22AF3"/>
    <w:rsid w:val="00C23FC9"/>
    <w:rsid w:val="00C35E82"/>
    <w:rsid w:val="00C51245"/>
    <w:rsid w:val="00C555BD"/>
    <w:rsid w:val="00C55B12"/>
    <w:rsid w:val="00C61413"/>
    <w:rsid w:val="00C62CC0"/>
    <w:rsid w:val="00C66F7A"/>
    <w:rsid w:val="00C72DBF"/>
    <w:rsid w:val="00C73579"/>
    <w:rsid w:val="00C81D50"/>
    <w:rsid w:val="00C9009F"/>
    <w:rsid w:val="00C90E2F"/>
    <w:rsid w:val="00C921E6"/>
    <w:rsid w:val="00CA0F8B"/>
    <w:rsid w:val="00CA5327"/>
    <w:rsid w:val="00CA73BB"/>
    <w:rsid w:val="00CB7412"/>
    <w:rsid w:val="00CC1EC7"/>
    <w:rsid w:val="00CD0776"/>
    <w:rsid w:val="00CD752E"/>
    <w:rsid w:val="00CE267A"/>
    <w:rsid w:val="00CE3ABF"/>
    <w:rsid w:val="00D00E54"/>
    <w:rsid w:val="00D0353E"/>
    <w:rsid w:val="00D03D3C"/>
    <w:rsid w:val="00D04483"/>
    <w:rsid w:val="00D070E5"/>
    <w:rsid w:val="00D14DF8"/>
    <w:rsid w:val="00D17347"/>
    <w:rsid w:val="00D21095"/>
    <w:rsid w:val="00D2388E"/>
    <w:rsid w:val="00D26B44"/>
    <w:rsid w:val="00D44FDB"/>
    <w:rsid w:val="00D50BE0"/>
    <w:rsid w:val="00D51184"/>
    <w:rsid w:val="00D52794"/>
    <w:rsid w:val="00D53DE1"/>
    <w:rsid w:val="00D5763F"/>
    <w:rsid w:val="00D73EFD"/>
    <w:rsid w:val="00D83852"/>
    <w:rsid w:val="00DA4E79"/>
    <w:rsid w:val="00DA7AD3"/>
    <w:rsid w:val="00DB24E1"/>
    <w:rsid w:val="00DB3BF6"/>
    <w:rsid w:val="00DC1879"/>
    <w:rsid w:val="00DC20C8"/>
    <w:rsid w:val="00DC7E2A"/>
    <w:rsid w:val="00DD0CEB"/>
    <w:rsid w:val="00DD3AB4"/>
    <w:rsid w:val="00DD5E2D"/>
    <w:rsid w:val="00DD710A"/>
    <w:rsid w:val="00DE2BFE"/>
    <w:rsid w:val="00DF493D"/>
    <w:rsid w:val="00DF5B2C"/>
    <w:rsid w:val="00E01E52"/>
    <w:rsid w:val="00E04B0F"/>
    <w:rsid w:val="00E264F9"/>
    <w:rsid w:val="00E35C54"/>
    <w:rsid w:val="00E35F83"/>
    <w:rsid w:val="00E364BC"/>
    <w:rsid w:val="00E4111B"/>
    <w:rsid w:val="00E46DF6"/>
    <w:rsid w:val="00E4784F"/>
    <w:rsid w:val="00E52611"/>
    <w:rsid w:val="00E54143"/>
    <w:rsid w:val="00E5446B"/>
    <w:rsid w:val="00E6245E"/>
    <w:rsid w:val="00E74E64"/>
    <w:rsid w:val="00E75D5C"/>
    <w:rsid w:val="00E75F3E"/>
    <w:rsid w:val="00EB0B63"/>
    <w:rsid w:val="00EC1C6C"/>
    <w:rsid w:val="00EC4F6E"/>
    <w:rsid w:val="00ED0CC7"/>
    <w:rsid w:val="00ED2EB7"/>
    <w:rsid w:val="00ED6928"/>
    <w:rsid w:val="00EE260C"/>
    <w:rsid w:val="00EE58BC"/>
    <w:rsid w:val="00EF4934"/>
    <w:rsid w:val="00EF5AC8"/>
    <w:rsid w:val="00EF604A"/>
    <w:rsid w:val="00F00F5B"/>
    <w:rsid w:val="00F07423"/>
    <w:rsid w:val="00F154E6"/>
    <w:rsid w:val="00F228B6"/>
    <w:rsid w:val="00F301EC"/>
    <w:rsid w:val="00F338B9"/>
    <w:rsid w:val="00F423AB"/>
    <w:rsid w:val="00F42F7B"/>
    <w:rsid w:val="00F44AF4"/>
    <w:rsid w:val="00F45DA0"/>
    <w:rsid w:val="00F513D1"/>
    <w:rsid w:val="00F5323F"/>
    <w:rsid w:val="00F91F66"/>
    <w:rsid w:val="00F91F97"/>
    <w:rsid w:val="00F97FEA"/>
    <w:rsid w:val="00FA2D98"/>
    <w:rsid w:val="00FA5516"/>
    <w:rsid w:val="00FA6E1B"/>
    <w:rsid w:val="00FA72AA"/>
    <w:rsid w:val="00FC0008"/>
    <w:rsid w:val="00FC45B3"/>
    <w:rsid w:val="00FC4A88"/>
    <w:rsid w:val="00FD0FE6"/>
    <w:rsid w:val="00FD13B1"/>
    <w:rsid w:val="00FD1AE8"/>
    <w:rsid w:val="00FD5C76"/>
    <w:rsid w:val="00FF1B23"/>
    <w:rsid w:val="00FF2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5E"/>
    <w:rPr>
      <w:sz w:val="24"/>
      <w:szCs w:val="24"/>
    </w:rPr>
  </w:style>
  <w:style w:type="paragraph" w:styleId="Heading1">
    <w:name w:val="heading 1"/>
    <w:basedOn w:val="Normal"/>
    <w:next w:val="Normal"/>
    <w:qFormat/>
    <w:rsid w:val="00BD583F"/>
    <w:pPr>
      <w:keepNext/>
      <w:outlineLvl w:val="0"/>
    </w:pPr>
    <w:rPr>
      <w:u w:val="single"/>
    </w:rPr>
  </w:style>
  <w:style w:type="paragraph" w:styleId="Heading3">
    <w:name w:val="heading 3"/>
    <w:basedOn w:val="Normal"/>
    <w:next w:val="Normal"/>
    <w:qFormat/>
    <w:rsid w:val="00BD583F"/>
    <w:pPr>
      <w:keepNext/>
      <w:ind w:left="360"/>
      <w:jc w:val="both"/>
      <w:outlineLvl w:val="2"/>
    </w:pPr>
    <w:rPr>
      <w:b/>
      <w:bCs/>
    </w:rPr>
  </w:style>
  <w:style w:type="paragraph" w:styleId="Heading5">
    <w:name w:val="heading 5"/>
    <w:basedOn w:val="Normal"/>
    <w:next w:val="Normal"/>
    <w:qFormat/>
    <w:rsid w:val="00BD583F"/>
    <w:pPr>
      <w:keepNext/>
      <w:jc w:val="both"/>
      <w:outlineLvl w:val="4"/>
    </w:pPr>
    <w:rPr>
      <w:u w:val="single"/>
    </w:rPr>
  </w:style>
  <w:style w:type="paragraph" w:styleId="Heading6">
    <w:name w:val="heading 6"/>
    <w:basedOn w:val="Normal"/>
    <w:next w:val="Normal"/>
    <w:qFormat/>
    <w:rsid w:val="00BD583F"/>
    <w:pPr>
      <w:keepNext/>
      <w:jc w:val="righ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D583F"/>
    <w:rPr>
      <w:b/>
      <w:bCs/>
    </w:rPr>
  </w:style>
  <w:style w:type="paragraph" w:styleId="BodyTextIndent">
    <w:name w:val="Body Text Indent"/>
    <w:basedOn w:val="Normal"/>
    <w:rsid w:val="00BD583F"/>
    <w:pPr>
      <w:ind w:left="360"/>
    </w:pPr>
  </w:style>
  <w:style w:type="paragraph" w:styleId="BodyTextIndent2">
    <w:name w:val="Body Text Indent 2"/>
    <w:basedOn w:val="Normal"/>
    <w:rsid w:val="00BD583F"/>
    <w:pPr>
      <w:ind w:left="360"/>
      <w:jc w:val="both"/>
    </w:pPr>
  </w:style>
  <w:style w:type="paragraph" w:styleId="BodyTextIndent3">
    <w:name w:val="Body Text Indent 3"/>
    <w:basedOn w:val="Normal"/>
    <w:rsid w:val="00BD583F"/>
    <w:pPr>
      <w:shd w:val="clear" w:color="auto" w:fill="CCFFCC"/>
      <w:ind w:left="360"/>
      <w:jc w:val="both"/>
    </w:pPr>
  </w:style>
  <w:style w:type="paragraph" w:styleId="Header">
    <w:name w:val="header"/>
    <w:basedOn w:val="Normal"/>
    <w:rsid w:val="00BD583F"/>
    <w:pPr>
      <w:tabs>
        <w:tab w:val="center" w:pos="4320"/>
        <w:tab w:val="right" w:pos="8640"/>
      </w:tabs>
    </w:pPr>
  </w:style>
  <w:style w:type="paragraph" w:styleId="Title">
    <w:name w:val="Title"/>
    <w:basedOn w:val="Normal"/>
    <w:qFormat/>
    <w:rsid w:val="00BD583F"/>
    <w:pPr>
      <w:jc w:val="center"/>
    </w:pPr>
    <w:rPr>
      <w:b/>
      <w:bCs/>
    </w:rPr>
  </w:style>
  <w:style w:type="paragraph" w:styleId="Subtitle">
    <w:name w:val="Subtitle"/>
    <w:basedOn w:val="Normal"/>
    <w:qFormat/>
    <w:rsid w:val="00BD583F"/>
    <w:pPr>
      <w:jc w:val="center"/>
    </w:pPr>
    <w:rPr>
      <w:b/>
      <w:bCs/>
    </w:rPr>
  </w:style>
  <w:style w:type="paragraph" w:styleId="Footer">
    <w:name w:val="footer"/>
    <w:basedOn w:val="Normal"/>
    <w:rsid w:val="00BD583F"/>
    <w:pPr>
      <w:tabs>
        <w:tab w:val="center" w:pos="4320"/>
        <w:tab w:val="right" w:pos="8640"/>
      </w:tabs>
    </w:pPr>
  </w:style>
  <w:style w:type="paragraph" w:styleId="BalloonText">
    <w:name w:val="Balloon Text"/>
    <w:basedOn w:val="Normal"/>
    <w:semiHidden/>
    <w:rsid w:val="00BD583F"/>
    <w:rPr>
      <w:rFonts w:ascii="Tahoma" w:hAnsi="Tahoma" w:cs="Tahoma"/>
      <w:sz w:val="16"/>
      <w:szCs w:val="16"/>
    </w:rPr>
  </w:style>
  <w:style w:type="character" w:styleId="PageNumber">
    <w:name w:val="page number"/>
    <w:basedOn w:val="DefaultParagraphFont"/>
    <w:rsid w:val="00BD583F"/>
  </w:style>
  <w:style w:type="table" w:styleId="TableGrid">
    <w:name w:val="Table Grid"/>
    <w:basedOn w:val="TableNormal"/>
    <w:rsid w:val="00F15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C26"/>
    <w:pPr>
      <w:ind w:left="720"/>
      <w:contextualSpacing/>
    </w:pPr>
  </w:style>
  <w:style w:type="paragraph" w:customStyle="1" w:styleId="Default">
    <w:name w:val="Default"/>
    <w:rsid w:val="005213E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5E"/>
    <w:rPr>
      <w:sz w:val="24"/>
      <w:szCs w:val="24"/>
    </w:rPr>
  </w:style>
  <w:style w:type="paragraph" w:styleId="Heading1">
    <w:name w:val="heading 1"/>
    <w:basedOn w:val="Normal"/>
    <w:next w:val="Normal"/>
    <w:qFormat/>
    <w:rsid w:val="00BD583F"/>
    <w:pPr>
      <w:keepNext/>
      <w:outlineLvl w:val="0"/>
    </w:pPr>
    <w:rPr>
      <w:u w:val="single"/>
    </w:rPr>
  </w:style>
  <w:style w:type="paragraph" w:styleId="Heading3">
    <w:name w:val="heading 3"/>
    <w:basedOn w:val="Normal"/>
    <w:next w:val="Normal"/>
    <w:qFormat/>
    <w:rsid w:val="00BD583F"/>
    <w:pPr>
      <w:keepNext/>
      <w:ind w:left="360"/>
      <w:jc w:val="both"/>
      <w:outlineLvl w:val="2"/>
    </w:pPr>
    <w:rPr>
      <w:b/>
      <w:bCs/>
    </w:rPr>
  </w:style>
  <w:style w:type="paragraph" w:styleId="Heading5">
    <w:name w:val="heading 5"/>
    <w:basedOn w:val="Normal"/>
    <w:next w:val="Normal"/>
    <w:qFormat/>
    <w:rsid w:val="00BD583F"/>
    <w:pPr>
      <w:keepNext/>
      <w:jc w:val="both"/>
      <w:outlineLvl w:val="4"/>
    </w:pPr>
    <w:rPr>
      <w:u w:val="single"/>
    </w:rPr>
  </w:style>
  <w:style w:type="paragraph" w:styleId="Heading6">
    <w:name w:val="heading 6"/>
    <w:basedOn w:val="Normal"/>
    <w:next w:val="Normal"/>
    <w:qFormat/>
    <w:rsid w:val="00BD583F"/>
    <w:pPr>
      <w:keepNext/>
      <w:jc w:val="righ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D583F"/>
    <w:rPr>
      <w:b/>
      <w:bCs/>
    </w:rPr>
  </w:style>
  <w:style w:type="paragraph" w:styleId="BodyTextIndent">
    <w:name w:val="Body Text Indent"/>
    <w:basedOn w:val="Normal"/>
    <w:rsid w:val="00BD583F"/>
    <w:pPr>
      <w:ind w:left="360"/>
    </w:pPr>
  </w:style>
  <w:style w:type="paragraph" w:styleId="BodyTextIndent2">
    <w:name w:val="Body Text Indent 2"/>
    <w:basedOn w:val="Normal"/>
    <w:rsid w:val="00BD583F"/>
    <w:pPr>
      <w:ind w:left="360"/>
      <w:jc w:val="both"/>
    </w:pPr>
  </w:style>
  <w:style w:type="paragraph" w:styleId="BodyTextIndent3">
    <w:name w:val="Body Text Indent 3"/>
    <w:basedOn w:val="Normal"/>
    <w:rsid w:val="00BD583F"/>
    <w:pPr>
      <w:shd w:val="clear" w:color="auto" w:fill="CCFFCC"/>
      <w:ind w:left="360"/>
      <w:jc w:val="both"/>
    </w:pPr>
  </w:style>
  <w:style w:type="paragraph" w:styleId="Header">
    <w:name w:val="header"/>
    <w:basedOn w:val="Normal"/>
    <w:rsid w:val="00BD583F"/>
    <w:pPr>
      <w:tabs>
        <w:tab w:val="center" w:pos="4320"/>
        <w:tab w:val="right" w:pos="8640"/>
      </w:tabs>
    </w:pPr>
  </w:style>
  <w:style w:type="paragraph" w:styleId="Title">
    <w:name w:val="Title"/>
    <w:basedOn w:val="Normal"/>
    <w:qFormat/>
    <w:rsid w:val="00BD583F"/>
    <w:pPr>
      <w:jc w:val="center"/>
    </w:pPr>
    <w:rPr>
      <w:b/>
      <w:bCs/>
    </w:rPr>
  </w:style>
  <w:style w:type="paragraph" w:styleId="Subtitle">
    <w:name w:val="Subtitle"/>
    <w:basedOn w:val="Normal"/>
    <w:qFormat/>
    <w:rsid w:val="00BD583F"/>
    <w:pPr>
      <w:jc w:val="center"/>
    </w:pPr>
    <w:rPr>
      <w:b/>
      <w:bCs/>
    </w:rPr>
  </w:style>
  <w:style w:type="paragraph" w:styleId="Footer">
    <w:name w:val="footer"/>
    <w:basedOn w:val="Normal"/>
    <w:rsid w:val="00BD583F"/>
    <w:pPr>
      <w:tabs>
        <w:tab w:val="center" w:pos="4320"/>
        <w:tab w:val="right" w:pos="8640"/>
      </w:tabs>
    </w:pPr>
  </w:style>
  <w:style w:type="paragraph" w:styleId="BalloonText">
    <w:name w:val="Balloon Text"/>
    <w:basedOn w:val="Normal"/>
    <w:semiHidden/>
    <w:rsid w:val="00BD583F"/>
    <w:rPr>
      <w:rFonts w:ascii="Tahoma" w:hAnsi="Tahoma" w:cs="Tahoma"/>
      <w:sz w:val="16"/>
      <w:szCs w:val="16"/>
    </w:rPr>
  </w:style>
  <w:style w:type="character" w:styleId="PageNumber">
    <w:name w:val="page number"/>
    <w:basedOn w:val="DefaultParagraphFont"/>
    <w:rsid w:val="00BD583F"/>
  </w:style>
  <w:style w:type="table" w:styleId="TableGrid">
    <w:name w:val="Table Grid"/>
    <w:basedOn w:val="TableNormal"/>
    <w:rsid w:val="00F15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C26"/>
    <w:pPr>
      <w:ind w:left="720"/>
      <w:contextualSpacing/>
    </w:pPr>
  </w:style>
  <w:style w:type="paragraph" w:customStyle="1" w:styleId="Default">
    <w:name w:val="Default"/>
    <w:rsid w:val="005213E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3860226">
      <w:bodyDiv w:val="1"/>
      <w:marLeft w:val="0"/>
      <w:marRight w:val="0"/>
      <w:marTop w:val="0"/>
      <w:marBottom w:val="0"/>
      <w:divBdr>
        <w:top w:val="none" w:sz="0" w:space="0" w:color="auto"/>
        <w:left w:val="none" w:sz="0" w:space="0" w:color="auto"/>
        <w:bottom w:val="none" w:sz="0" w:space="0" w:color="auto"/>
        <w:right w:val="none" w:sz="0" w:space="0" w:color="auto"/>
      </w:divBdr>
    </w:div>
    <w:div w:id="150099471">
      <w:bodyDiv w:val="1"/>
      <w:marLeft w:val="0"/>
      <w:marRight w:val="0"/>
      <w:marTop w:val="0"/>
      <w:marBottom w:val="0"/>
      <w:divBdr>
        <w:top w:val="none" w:sz="0" w:space="0" w:color="auto"/>
        <w:left w:val="none" w:sz="0" w:space="0" w:color="auto"/>
        <w:bottom w:val="none" w:sz="0" w:space="0" w:color="auto"/>
        <w:right w:val="none" w:sz="0" w:space="0" w:color="auto"/>
      </w:divBdr>
    </w:div>
    <w:div w:id="344941039">
      <w:bodyDiv w:val="1"/>
      <w:marLeft w:val="0"/>
      <w:marRight w:val="0"/>
      <w:marTop w:val="0"/>
      <w:marBottom w:val="0"/>
      <w:divBdr>
        <w:top w:val="none" w:sz="0" w:space="0" w:color="auto"/>
        <w:left w:val="none" w:sz="0" w:space="0" w:color="auto"/>
        <w:bottom w:val="none" w:sz="0" w:space="0" w:color="auto"/>
        <w:right w:val="none" w:sz="0" w:space="0" w:color="auto"/>
      </w:divBdr>
    </w:div>
    <w:div w:id="444737166">
      <w:bodyDiv w:val="1"/>
      <w:marLeft w:val="0"/>
      <w:marRight w:val="0"/>
      <w:marTop w:val="0"/>
      <w:marBottom w:val="0"/>
      <w:divBdr>
        <w:top w:val="none" w:sz="0" w:space="0" w:color="auto"/>
        <w:left w:val="none" w:sz="0" w:space="0" w:color="auto"/>
        <w:bottom w:val="none" w:sz="0" w:space="0" w:color="auto"/>
        <w:right w:val="none" w:sz="0" w:space="0" w:color="auto"/>
      </w:divBdr>
    </w:div>
    <w:div w:id="499543419">
      <w:bodyDiv w:val="1"/>
      <w:marLeft w:val="0"/>
      <w:marRight w:val="0"/>
      <w:marTop w:val="0"/>
      <w:marBottom w:val="0"/>
      <w:divBdr>
        <w:top w:val="none" w:sz="0" w:space="0" w:color="auto"/>
        <w:left w:val="none" w:sz="0" w:space="0" w:color="auto"/>
        <w:bottom w:val="none" w:sz="0" w:space="0" w:color="auto"/>
        <w:right w:val="none" w:sz="0" w:space="0" w:color="auto"/>
      </w:divBdr>
    </w:div>
    <w:div w:id="980577267">
      <w:bodyDiv w:val="1"/>
      <w:marLeft w:val="0"/>
      <w:marRight w:val="0"/>
      <w:marTop w:val="0"/>
      <w:marBottom w:val="0"/>
      <w:divBdr>
        <w:top w:val="none" w:sz="0" w:space="0" w:color="auto"/>
        <w:left w:val="none" w:sz="0" w:space="0" w:color="auto"/>
        <w:bottom w:val="none" w:sz="0" w:space="0" w:color="auto"/>
        <w:right w:val="none" w:sz="0" w:space="0" w:color="auto"/>
      </w:divBdr>
    </w:div>
    <w:div w:id="1057818423">
      <w:bodyDiv w:val="1"/>
      <w:marLeft w:val="0"/>
      <w:marRight w:val="0"/>
      <w:marTop w:val="0"/>
      <w:marBottom w:val="0"/>
      <w:divBdr>
        <w:top w:val="none" w:sz="0" w:space="0" w:color="auto"/>
        <w:left w:val="none" w:sz="0" w:space="0" w:color="auto"/>
        <w:bottom w:val="none" w:sz="0" w:space="0" w:color="auto"/>
        <w:right w:val="none" w:sz="0" w:space="0" w:color="auto"/>
      </w:divBdr>
    </w:div>
    <w:div w:id="1210729617">
      <w:bodyDiv w:val="1"/>
      <w:marLeft w:val="0"/>
      <w:marRight w:val="0"/>
      <w:marTop w:val="0"/>
      <w:marBottom w:val="0"/>
      <w:divBdr>
        <w:top w:val="none" w:sz="0" w:space="0" w:color="auto"/>
        <w:left w:val="none" w:sz="0" w:space="0" w:color="auto"/>
        <w:bottom w:val="none" w:sz="0" w:space="0" w:color="auto"/>
        <w:right w:val="none" w:sz="0" w:space="0" w:color="auto"/>
      </w:divBdr>
    </w:div>
    <w:div w:id="1321076337">
      <w:bodyDiv w:val="1"/>
      <w:marLeft w:val="0"/>
      <w:marRight w:val="0"/>
      <w:marTop w:val="0"/>
      <w:marBottom w:val="0"/>
      <w:divBdr>
        <w:top w:val="none" w:sz="0" w:space="0" w:color="auto"/>
        <w:left w:val="none" w:sz="0" w:space="0" w:color="auto"/>
        <w:bottom w:val="none" w:sz="0" w:space="0" w:color="auto"/>
        <w:right w:val="none" w:sz="0" w:space="0" w:color="auto"/>
      </w:divBdr>
    </w:div>
    <w:div w:id="1344864564">
      <w:bodyDiv w:val="1"/>
      <w:marLeft w:val="0"/>
      <w:marRight w:val="0"/>
      <w:marTop w:val="0"/>
      <w:marBottom w:val="0"/>
      <w:divBdr>
        <w:top w:val="none" w:sz="0" w:space="0" w:color="auto"/>
        <w:left w:val="none" w:sz="0" w:space="0" w:color="auto"/>
        <w:bottom w:val="none" w:sz="0" w:space="0" w:color="auto"/>
        <w:right w:val="none" w:sz="0" w:space="0" w:color="auto"/>
      </w:divBdr>
    </w:div>
    <w:div w:id="1491366279">
      <w:bodyDiv w:val="1"/>
      <w:marLeft w:val="0"/>
      <w:marRight w:val="0"/>
      <w:marTop w:val="0"/>
      <w:marBottom w:val="0"/>
      <w:divBdr>
        <w:top w:val="none" w:sz="0" w:space="0" w:color="auto"/>
        <w:left w:val="none" w:sz="0" w:space="0" w:color="auto"/>
        <w:bottom w:val="none" w:sz="0" w:space="0" w:color="auto"/>
        <w:right w:val="none" w:sz="0" w:space="0" w:color="auto"/>
      </w:divBdr>
    </w:div>
    <w:div w:id="1654794338">
      <w:bodyDiv w:val="1"/>
      <w:marLeft w:val="0"/>
      <w:marRight w:val="0"/>
      <w:marTop w:val="0"/>
      <w:marBottom w:val="0"/>
      <w:divBdr>
        <w:top w:val="none" w:sz="0" w:space="0" w:color="auto"/>
        <w:left w:val="none" w:sz="0" w:space="0" w:color="auto"/>
        <w:bottom w:val="none" w:sz="0" w:space="0" w:color="auto"/>
        <w:right w:val="none" w:sz="0" w:space="0" w:color="auto"/>
      </w:divBdr>
    </w:div>
    <w:div w:id="1695688934">
      <w:bodyDiv w:val="1"/>
      <w:marLeft w:val="0"/>
      <w:marRight w:val="0"/>
      <w:marTop w:val="0"/>
      <w:marBottom w:val="0"/>
      <w:divBdr>
        <w:top w:val="none" w:sz="0" w:space="0" w:color="auto"/>
        <w:left w:val="none" w:sz="0" w:space="0" w:color="auto"/>
        <w:bottom w:val="none" w:sz="0" w:space="0" w:color="auto"/>
        <w:right w:val="none" w:sz="0" w:space="0" w:color="auto"/>
      </w:divBdr>
    </w:div>
    <w:div w:id="1773043436">
      <w:bodyDiv w:val="1"/>
      <w:marLeft w:val="0"/>
      <w:marRight w:val="0"/>
      <w:marTop w:val="0"/>
      <w:marBottom w:val="0"/>
      <w:divBdr>
        <w:top w:val="none" w:sz="0" w:space="0" w:color="auto"/>
        <w:left w:val="none" w:sz="0" w:space="0" w:color="auto"/>
        <w:bottom w:val="none" w:sz="0" w:space="0" w:color="auto"/>
        <w:right w:val="none" w:sz="0" w:space="0" w:color="auto"/>
      </w:divBdr>
    </w:div>
    <w:div w:id="1805780354">
      <w:bodyDiv w:val="1"/>
      <w:marLeft w:val="0"/>
      <w:marRight w:val="0"/>
      <w:marTop w:val="0"/>
      <w:marBottom w:val="0"/>
      <w:divBdr>
        <w:top w:val="none" w:sz="0" w:space="0" w:color="auto"/>
        <w:left w:val="none" w:sz="0" w:space="0" w:color="auto"/>
        <w:bottom w:val="none" w:sz="0" w:space="0" w:color="auto"/>
        <w:right w:val="none" w:sz="0" w:space="0" w:color="auto"/>
      </w:divBdr>
    </w:div>
    <w:div w:id="1903786953">
      <w:bodyDiv w:val="1"/>
      <w:marLeft w:val="0"/>
      <w:marRight w:val="0"/>
      <w:marTop w:val="0"/>
      <w:marBottom w:val="0"/>
      <w:divBdr>
        <w:top w:val="none" w:sz="0" w:space="0" w:color="auto"/>
        <w:left w:val="none" w:sz="0" w:space="0" w:color="auto"/>
        <w:bottom w:val="none" w:sz="0" w:space="0" w:color="auto"/>
        <w:right w:val="none" w:sz="0" w:space="0" w:color="auto"/>
      </w:divBdr>
    </w:div>
    <w:div w:id="2019697191">
      <w:bodyDiv w:val="1"/>
      <w:marLeft w:val="0"/>
      <w:marRight w:val="0"/>
      <w:marTop w:val="0"/>
      <w:marBottom w:val="0"/>
      <w:divBdr>
        <w:top w:val="none" w:sz="0" w:space="0" w:color="auto"/>
        <w:left w:val="none" w:sz="0" w:space="0" w:color="auto"/>
        <w:bottom w:val="none" w:sz="0" w:space="0" w:color="auto"/>
        <w:right w:val="none" w:sz="0" w:space="0" w:color="auto"/>
      </w:divBdr>
    </w:div>
    <w:div w:id="21260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25BD-E1BD-4E3B-8FC3-559AAFFE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UNAUDITED RESULTS FOR</vt:lpstr>
    </vt:vector>
  </TitlesOfParts>
  <Company>Pembinaan Jayabumi (S) Berhad</Company>
  <LinksUpToDate>false</LinksUpToDate>
  <CharactersWithSpaces>13642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UNAUDITED RESULTS FOR</dc:title>
  <dc:subject/>
  <dc:creator>zana</dc:creator>
  <cp:keywords/>
  <cp:lastModifiedBy>Rose</cp:lastModifiedBy>
  <cp:revision>3</cp:revision>
  <cp:lastPrinted>2012-05-30T00:15:00Z</cp:lastPrinted>
  <dcterms:created xsi:type="dcterms:W3CDTF">2012-05-30T09:21:00Z</dcterms:created>
  <dcterms:modified xsi:type="dcterms:W3CDTF">2012-05-30T09:23:00Z</dcterms:modified>
</cp:coreProperties>
</file>